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7E9" w:rsidRDefault="007046AF" w:rsidP="00E30FF6">
      <w:pPr>
        <w:pStyle w:val="Autor"/>
        <w:rPr>
          <w:rStyle w:val="Refdenotaderodap"/>
          <w:vertAlign w:val="baseline"/>
          <w:lang w:val="pt-BR"/>
        </w:rPr>
      </w:pPr>
      <w:r>
        <w:rPr>
          <w:lang w:val="pt-BR"/>
        </w:rPr>
        <w:t>Luciana Gonçalves Tibiriçá</w:t>
      </w:r>
      <w:r w:rsidR="00E0694B" w:rsidRPr="00F85CC0">
        <w:rPr>
          <w:rStyle w:val="Refdenotaderodap"/>
          <w:vertAlign w:val="baseline"/>
          <w:lang w:val="pt-BR"/>
        </w:rPr>
        <w:t xml:space="preserve"> </w:t>
      </w:r>
      <w:r w:rsidR="007F35CA" w:rsidRPr="006D118F">
        <w:rPr>
          <w:rStyle w:val="Refdenotaderodap"/>
        </w:rPr>
        <w:footnoteReference w:id="1"/>
      </w:r>
    </w:p>
    <w:p w:rsidR="00E94BF2" w:rsidRPr="00F85CC0" w:rsidRDefault="00E94BF2" w:rsidP="00E94BF2">
      <w:pPr>
        <w:pStyle w:val="Texto"/>
      </w:pPr>
    </w:p>
    <w:p w:rsidR="00E94BF2" w:rsidRPr="00F85CC0" w:rsidRDefault="00F85CC0" w:rsidP="00E94BF2">
      <w:pPr>
        <w:pStyle w:val="ResumoTtulo"/>
      </w:pPr>
      <w:r w:rsidRPr="00F85CC0">
        <w:t>Resumo</w:t>
      </w:r>
      <w:r w:rsidR="003A3A7B" w:rsidRPr="00F85CC0">
        <w:t>:</w:t>
      </w:r>
    </w:p>
    <w:p w:rsidR="00CD52E5" w:rsidRPr="00094150" w:rsidRDefault="00CD52E5" w:rsidP="00CD52E5">
      <w:pPr>
        <w:ind w:firstLine="708"/>
        <w:rPr>
          <w:rFonts w:ascii="Garamond" w:hAnsi="Garamond" w:cstheme="minorHAnsi"/>
        </w:rPr>
      </w:pPr>
      <w:r w:rsidRPr="00094150">
        <w:rPr>
          <w:rFonts w:ascii="Garamond" w:hAnsi="Garamond"/>
        </w:rPr>
        <w:t>A</w:t>
      </w:r>
      <w:r w:rsidRPr="00094150">
        <w:rPr>
          <w:rFonts w:ascii="Garamond" w:hAnsi="Garamond" w:cs="Arial"/>
          <w:color w:val="000000" w:themeColor="text1"/>
          <w:szCs w:val="24"/>
        </w:rPr>
        <w:t xml:space="preserve"> mineração faz parte da história de o</w:t>
      </w:r>
      <w:r w:rsidR="00094150" w:rsidRPr="00094150">
        <w:rPr>
          <w:rFonts w:ascii="Garamond" w:hAnsi="Garamond" w:cs="Arial"/>
          <w:color w:val="000000" w:themeColor="text1"/>
          <w:szCs w:val="24"/>
        </w:rPr>
        <w:t xml:space="preserve">cupação do território goiano e </w:t>
      </w:r>
      <w:r w:rsidRPr="00094150">
        <w:rPr>
          <w:rFonts w:ascii="Garamond" w:hAnsi="Garamond" w:cs="Arial"/>
          <w:color w:val="000000" w:themeColor="text1"/>
          <w:szCs w:val="24"/>
        </w:rPr>
        <w:t>da</w:t>
      </w:r>
      <w:r w:rsidRPr="00094150">
        <w:rPr>
          <w:rFonts w:ascii="Garamond" w:hAnsi="Garamond"/>
        </w:rPr>
        <w:t xml:space="preserve"> formação das primeiras redes urbanas</w:t>
      </w:r>
      <w:r w:rsidRPr="00094150">
        <w:rPr>
          <w:rFonts w:ascii="Garamond" w:hAnsi="Garamond" w:cs="Arial"/>
          <w:color w:val="000000" w:themeColor="text1"/>
          <w:szCs w:val="24"/>
        </w:rPr>
        <w:t xml:space="preserve">. </w:t>
      </w:r>
      <w:r w:rsidR="00094150" w:rsidRPr="00094150">
        <w:rPr>
          <w:rFonts w:ascii="Garamond" w:hAnsi="Garamond" w:cstheme="minorHAnsi"/>
        </w:rPr>
        <w:t>Portugal</w:t>
      </w:r>
      <w:r w:rsidR="00094150" w:rsidRPr="00094150">
        <w:rPr>
          <w:rFonts w:ascii="Garamond" w:hAnsi="Garamond"/>
        </w:rPr>
        <w:t xml:space="preserve"> tinha </w:t>
      </w:r>
      <w:r w:rsidRPr="00094150">
        <w:rPr>
          <w:rFonts w:ascii="Garamond" w:hAnsi="Garamond"/>
        </w:rPr>
        <w:t xml:space="preserve">interesse </w:t>
      </w:r>
      <w:r w:rsidRPr="00094150">
        <w:rPr>
          <w:rFonts w:ascii="Garamond" w:hAnsi="Garamond" w:cstheme="minorHAnsi"/>
        </w:rPr>
        <w:t>pela região e</w:t>
      </w:r>
      <w:r w:rsidR="00094150" w:rsidRPr="00094150">
        <w:rPr>
          <w:rFonts w:ascii="Garamond" w:hAnsi="Garamond" w:cstheme="minorHAnsi"/>
        </w:rPr>
        <w:t xml:space="preserve"> junto com a</w:t>
      </w:r>
      <w:r w:rsidRPr="00094150">
        <w:rPr>
          <w:rFonts w:ascii="Garamond" w:hAnsi="Garamond" w:cstheme="minorHAnsi"/>
        </w:rPr>
        <w:t xml:space="preserve"> necessidade de expansão de seu território, busca</w:t>
      </w:r>
      <w:r w:rsidR="00094150" w:rsidRPr="00094150">
        <w:rPr>
          <w:rFonts w:ascii="Garamond" w:hAnsi="Garamond" w:cstheme="minorHAnsi"/>
        </w:rPr>
        <w:t>va</w:t>
      </w:r>
      <w:r w:rsidRPr="00094150">
        <w:rPr>
          <w:rFonts w:ascii="Garamond" w:hAnsi="Garamond" w:cstheme="minorHAnsi"/>
        </w:rPr>
        <w:t xml:space="preserve"> o Eldorado. Os garimpos, dispersos p</w:t>
      </w:r>
      <w:r w:rsidR="00094150" w:rsidRPr="00094150">
        <w:rPr>
          <w:rFonts w:ascii="Garamond" w:hAnsi="Garamond" w:cstheme="minorHAnsi"/>
        </w:rPr>
        <w:t>ela</w:t>
      </w:r>
      <w:r w:rsidRPr="00094150">
        <w:rPr>
          <w:rFonts w:ascii="Garamond" w:hAnsi="Garamond" w:cstheme="minorHAnsi"/>
        </w:rPr>
        <w:t xml:space="preserve"> província se tornaram cidades que, com o declínio das atividades minerais no século XVIII, tiveram poucas condições de se desenvolver. A característica aventureira dos exploradores e o fato de que eram pouco interessados na ocupação do espaço, acabou por fazer de Goiás um lugar inóspito durante o período de declínio da mineração. Goiás tem hoje um histórico de mais de duzentos anos de exploração mineral </w:t>
      </w:r>
      <w:r w:rsidR="00094150" w:rsidRPr="00094150">
        <w:rPr>
          <w:rFonts w:ascii="Garamond" w:hAnsi="Garamond" w:cstheme="minorHAnsi"/>
        </w:rPr>
        <w:t>e como f</w:t>
      </w:r>
      <w:r w:rsidRPr="00094150">
        <w:rPr>
          <w:rFonts w:ascii="Garamond" w:hAnsi="Garamond" w:cstheme="minorHAnsi"/>
        </w:rPr>
        <w:t>orma de ocupa</w:t>
      </w:r>
      <w:r w:rsidR="00094150" w:rsidRPr="00094150">
        <w:rPr>
          <w:rFonts w:ascii="Garamond" w:hAnsi="Garamond" w:cstheme="minorHAnsi"/>
        </w:rPr>
        <w:t>ção d</w:t>
      </w:r>
      <w:r w:rsidRPr="00094150">
        <w:rPr>
          <w:rFonts w:ascii="Garamond" w:hAnsi="Garamond" w:cstheme="minorHAnsi"/>
        </w:rPr>
        <w:t xml:space="preserve">o espaço do Cerrado goiano, a mineração efetivamente </w:t>
      </w:r>
      <w:r w:rsidR="00765283">
        <w:rPr>
          <w:rFonts w:ascii="Garamond" w:hAnsi="Garamond" w:cstheme="minorHAnsi"/>
        </w:rPr>
        <w:t>possibilitou</w:t>
      </w:r>
      <w:r w:rsidR="00765283" w:rsidRPr="00094150">
        <w:rPr>
          <w:rFonts w:ascii="Garamond" w:hAnsi="Garamond" w:cstheme="minorHAnsi"/>
        </w:rPr>
        <w:t xml:space="preserve"> a consolidação </w:t>
      </w:r>
      <w:r w:rsidR="00765283">
        <w:rPr>
          <w:rFonts w:ascii="Garamond" w:hAnsi="Garamond" w:cstheme="minorHAnsi"/>
        </w:rPr>
        <w:t xml:space="preserve">da economia </w:t>
      </w:r>
      <w:r w:rsidR="00765283" w:rsidRPr="00094150">
        <w:rPr>
          <w:rFonts w:ascii="Garamond" w:hAnsi="Garamond" w:cstheme="minorHAnsi"/>
        </w:rPr>
        <w:t>pela agricultura</w:t>
      </w:r>
      <w:r w:rsidR="00765283">
        <w:rPr>
          <w:rFonts w:ascii="Garamond" w:hAnsi="Garamond" w:cstheme="minorHAnsi"/>
        </w:rPr>
        <w:t xml:space="preserve"> no século XX</w:t>
      </w:r>
      <w:r w:rsidR="00765283" w:rsidRPr="00094150">
        <w:rPr>
          <w:rFonts w:ascii="Garamond" w:hAnsi="Garamond" w:cstheme="minorHAnsi"/>
        </w:rPr>
        <w:t>.</w:t>
      </w:r>
    </w:p>
    <w:p w:rsidR="003A3A7B" w:rsidRPr="00CD52E5" w:rsidRDefault="003A3A7B" w:rsidP="003A3A7B">
      <w:pPr>
        <w:pStyle w:val="Resumo"/>
      </w:pPr>
    </w:p>
    <w:p w:rsidR="003A3A7B" w:rsidRPr="007046AF" w:rsidRDefault="00F85CC0" w:rsidP="000F04DA">
      <w:pPr>
        <w:pStyle w:val="Resumo"/>
      </w:pPr>
      <w:r w:rsidRPr="007046AF">
        <w:rPr>
          <w:b/>
        </w:rPr>
        <w:t>Palavras-Chave</w:t>
      </w:r>
      <w:r w:rsidR="003A3A7B" w:rsidRPr="007046AF">
        <w:rPr>
          <w:b/>
        </w:rPr>
        <w:t>:</w:t>
      </w:r>
      <w:r w:rsidR="00CD52E5">
        <w:rPr>
          <w:b/>
        </w:rPr>
        <w:t xml:space="preserve"> </w:t>
      </w:r>
      <w:bookmarkStart w:id="0" w:name="_GoBack"/>
      <w:r w:rsidR="00CD52E5" w:rsidRPr="00341F75">
        <w:t>Mineração, Cerrado, Ocupação</w:t>
      </w:r>
      <w:r w:rsidR="00C94715" w:rsidRPr="00341F75">
        <w:rPr>
          <w:color w:val="FF0000"/>
        </w:rPr>
        <w:t>.</w:t>
      </w:r>
      <w:bookmarkEnd w:id="0"/>
    </w:p>
    <w:p w:rsidR="00A46413" w:rsidRPr="007046AF" w:rsidRDefault="00A46413" w:rsidP="003A3A7B">
      <w:pPr>
        <w:pStyle w:val="Resumo"/>
      </w:pPr>
    </w:p>
    <w:p w:rsidR="00286A9E" w:rsidRPr="007046AF" w:rsidRDefault="00286A9E" w:rsidP="003A3A7B">
      <w:pPr>
        <w:pStyle w:val="Resumo"/>
        <w:sectPr w:rsidR="00286A9E" w:rsidRPr="007046AF" w:rsidSect="00B33D2F">
          <w:headerReference w:type="default" r:id="rId9"/>
          <w:footerReference w:type="default" r:id="rId10"/>
          <w:pgSz w:w="11906" w:h="16838" w:code="9"/>
          <w:pgMar w:top="3374" w:right="1134" w:bottom="1134" w:left="1134" w:header="709" w:footer="741" w:gutter="0"/>
          <w:pgNumType w:start="1"/>
          <w:cols w:space="708"/>
          <w:docGrid w:linePitch="360"/>
        </w:sectPr>
      </w:pPr>
    </w:p>
    <w:p w:rsidR="00B95EB5" w:rsidRPr="000B031C" w:rsidRDefault="00B95EB5" w:rsidP="00B95EB5">
      <w:pPr>
        <w:pStyle w:val="Texto1Paragrafo"/>
        <w:keepNext/>
        <w:framePr w:dropCap="drop" w:lines="3" w:wrap="around" w:vAnchor="text" w:hAnchor="text" w:y="1"/>
        <w:spacing w:after="0" w:line="1575" w:lineRule="exact"/>
        <w:textAlignment w:val="baseline"/>
        <w:rPr>
          <w:position w:val="2"/>
          <w:sz w:val="191"/>
        </w:rPr>
      </w:pPr>
      <w:r>
        <w:rPr>
          <w:position w:val="2"/>
          <w:sz w:val="191"/>
        </w:rPr>
        <w:lastRenderedPageBreak/>
        <w:t>A</w:t>
      </w:r>
    </w:p>
    <w:p w:rsidR="00B95EB5" w:rsidRPr="00B95EB5" w:rsidRDefault="00B95EB5" w:rsidP="00B95EB5">
      <w:pPr>
        <w:rPr>
          <w:rFonts w:ascii="Garamond" w:hAnsi="Garamond" w:cstheme="minorHAnsi"/>
        </w:rPr>
      </w:pPr>
      <w:r w:rsidRPr="009D54A0">
        <w:rPr>
          <w:rFonts w:cstheme="minorHAnsi"/>
        </w:rPr>
        <w:t xml:space="preserve"> </w:t>
      </w:r>
      <w:proofErr w:type="gramStart"/>
      <w:r w:rsidRPr="00B95EB5">
        <w:rPr>
          <w:rFonts w:ascii="Garamond" w:hAnsi="Garamond" w:cstheme="minorHAnsi"/>
        </w:rPr>
        <w:t>mineração</w:t>
      </w:r>
      <w:proofErr w:type="gramEnd"/>
      <w:r w:rsidRPr="00B95EB5">
        <w:rPr>
          <w:rFonts w:ascii="Garamond" w:hAnsi="Garamond" w:cstheme="minorHAnsi"/>
        </w:rPr>
        <w:t xml:space="preserve"> teve um papel decisivo para o Brasil porque possibilitou a efetiva ocupação do espaço pela Coroa portuguesa para além da costa atlântica brasileira, a despeito de tratar-se de uma conquista colonialista tanto de minérios quanto de nativos a serem escravizados. As formas dessa apropriação e seus resultados ainda são percebidos, como as áreas urbanas muito próximas aos rios, que originaram os problemas ambientais hídricos; as áreas rurais distribuídas de forma geralmente desiguais e pouco produtivas, tanto para agricultura quanto para pecuária; e o emprego de práticas de manejo da terra ineficazes, que aos poucos têm sido adaptadas às novas tecnologias, muitas das vezes focada apenas na monocultura. </w:t>
      </w:r>
    </w:p>
    <w:p w:rsidR="00B95EB5" w:rsidRPr="00B95EB5" w:rsidRDefault="00B95EB5" w:rsidP="00B95EB5">
      <w:pPr>
        <w:shd w:val="clear" w:color="auto" w:fill="FFFFFF"/>
        <w:ind w:firstLine="708"/>
        <w:rPr>
          <w:rFonts w:ascii="Garamond" w:eastAsia="Times New Roman" w:hAnsi="Garamond" w:cstheme="minorHAnsi"/>
        </w:rPr>
      </w:pPr>
      <w:r w:rsidRPr="00B95EB5">
        <w:rPr>
          <w:rFonts w:ascii="Garamond" w:eastAsia="Times New Roman" w:hAnsi="Garamond" w:cstheme="minorHAnsi"/>
        </w:rPr>
        <w:t xml:space="preserve">A descoberta de minerais no Brasil inicia-se oficialmente, segundo Cornejo &amp; Bartorelli (2010, p. 39), em 1550, com uma carta destinada ao Rei Dom João III, escrita por Felipe de Guilhem, dando notícia das riquezas. A partir daí se estabelecem as bases para as diversas entradas e bandeiras que vieram desde então. </w:t>
      </w:r>
      <w:r w:rsidRPr="00B95EB5">
        <w:rPr>
          <w:rFonts w:ascii="Garamond" w:hAnsi="Garamond" w:cstheme="minorHAnsi"/>
        </w:rPr>
        <w:t xml:space="preserve">Os bandeirantes paulistas foram os principais responsáveis pela descoberta do ouro no Brasil, inicialmente em Minas Gerais e, posteriormente, em Goiás e Mato Grosso, principalmente. As viagens empreendidas nos caminhos dos </w:t>
      </w:r>
      <w:proofErr w:type="spellStart"/>
      <w:r w:rsidRPr="00B95EB5">
        <w:rPr>
          <w:rFonts w:ascii="Garamond" w:hAnsi="Garamond" w:cstheme="minorHAnsi"/>
        </w:rPr>
        <w:t>Goyazes</w:t>
      </w:r>
      <w:proofErr w:type="spellEnd"/>
      <w:r w:rsidRPr="00B95EB5">
        <w:rPr>
          <w:rFonts w:ascii="Garamond" w:hAnsi="Garamond" w:cstheme="minorHAnsi"/>
        </w:rPr>
        <w:t xml:space="preserve"> a partir de 1592, seja para capturar os nativos, </w:t>
      </w:r>
      <w:proofErr w:type="gramStart"/>
      <w:r w:rsidRPr="00B95EB5">
        <w:rPr>
          <w:rFonts w:ascii="Garamond" w:hAnsi="Garamond" w:cstheme="minorHAnsi"/>
        </w:rPr>
        <w:t>seja</w:t>
      </w:r>
      <w:proofErr w:type="gramEnd"/>
      <w:r w:rsidRPr="00B95EB5">
        <w:rPr>
          <w:rFonts w:ascii="Garamond" w:hAnsi="Garamond" w:cstheme="minorHAnsi"/>
        </w:rPr>
        <w:t xml:space="preserve"> para garimpagem e reconhecimento científico, demonstra o grande interesse por esse território. </w:t>
      </w:r>
      <w:r w:rsidRPr="00B95EB5">
        <w:rPr>
          <w:rFonts w:ascii="Garamond" w:eastAsia="Times New Roman" w:hAnsi="Garamond" w:cstheme="minorHAnsi"/>
        </w:rPr>
        <w:t>Das muitas incursões regulares (bandeiras) realizadas com o objetivo de explorar o centro do país, Artiaga (1951, p.59) conta dezessete delas até a entrada organizada por Anhanguera Filho, em 1722. Seu objetivo era a instalação de povoados, pois a presença de ouro havia sido confirmada há tempos. Em 1666, Francisco Ribeiro de Morais, Jerônimo Bueno e José Lara haviam conseguido “muitos troféus e material mineralógico que comprovaram a fama” do lugar.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Palacín (2001, p. 14) analisa três razões para o extremo interesse pela região: 1) a necessidade de encontrar um caminho por terra para substituir a via fluvial utilizada para Cuiabá, considerada longa e difícil; 2) a existência de uma teoria geológica que avaliava a ocorrência dos metais preciosos em grandes faixas paralelas ao Equador e que aumentariam em densidade do leste para o oeste, o tal Eldorado...; 3) o momento político desfavorável aos paulistas, com o desmembramento e o estabelecimento da Capitania de Minas Gerais. A estes fatores, agrega-se ainda o fato relatado por Artiaga (1951), de que Portugal tinha interesse em ultrapassar os limites estabelecidos pelo Tratado de Tordesilhas.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 xml:space="preserve">A confirmação da descoberta de ouro gerou uma acorrida pelos espaços e também por participar do processo de “enriquecimento”. A princípio, os aventureiros em busca de ouro que vieram para Goiás não tinham qualquer interesse em se fixar, diferentemente dos que ocuparam o território mineiro, provavelmente pela proximidade com os “centros” da Colônia. A formação dos arraiais goianos desconsiderou fatores geográficos e climatológicos e acabou por “estabelecer” os critérios para </w:t>
      </w:r>
      <w:r w:rsidRPr="00B95EB5">
        <w:rPr>
          <w:rFonts w:ascii="Garamond" w:hAnsi="Garamond" w:cstheme="minorHAnsi"/>
        </w:rPr>
        <w:lastRenderedPageBreak/>
        <w:t xml:space="preserve">o surgimento dos novos arraiais, conforme explicita Palacín (2001, p.27), da seguinte forma: “Há ouro e água, isto basta”. </w:t>
      </w:r>
      <w:r w:rsidR="00771E22">
        <w:rPr>
          <w:rFonts w:ascii="Garamond" w:hAnsi="Garamond" w:cstheme="minorHAnsi"/>
        </w:rPr>
        <w:t xml:space="preserve">Já </w:t>
      </w:r>
      <w:r w:rsidRPr="00B95EB5">
        <w:rPr>
          <w:rFonts w:ascii="Garamond" w:hAnsi="Garamond" w:cstheme="minorHAnsi"/>
        </w:rPr>
        <w:t xml:space="preserve">Bertran (2010, p.5) associa quatro fatores que viabilizam a extração aurífera no século XVIII: geologia (apesar do conhecimento empírico dos aventureiros), relevo, clima e técnica. </w:t>
      </w:r>
    </w:p>
    <w:p w:rsidR="00B95EB5" w:rsidRPr="00B95EB5" w:rsidRDefault="00B95EB5" w:rsidP="00B95EB5">
      <w:pPr>
        <w:shd w:val="clear" w:color="auto" w:fill="FFFFFF"/>
        <w:ind w:firstLine="567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Com a gradativa queda na produção de ouro, provavelmente decorrente do aprofundamento das catas, teria havido , segundo Bertran (2010), uma queda na compra de escravos voltados à mineração e ao aumento no investimento na agropecuária, tornando a economia da região voltada à autossubsistência, distante da perspectiva de decadência anotada pelos europeus. O autor completa sua tese esclarecendo que a queda na quantidade de ouro extraído fez com que a mineração se concentrasse naqueles que tivessem mais recursos e ao restante da população coube “afazendar-se” ou então passar à condição de faiscadores/garimpeiros paupérrimos e sem escravos. Funes (1986, p.107) esclarece que a crise econômica provocou a passagem da economia goiana da mineração para a produção agropecuária de pouco excedente e que isto gerou uma série de alterações na Província, como a reestruturação fundiária, alterações na produção agrícola e pecuária, e também na população, com a diminuição no quantitativo de escravos.</w:t>
      </w:r>
    </w:p>
    <w:p w:rsid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Assim, a ocupação do estado de Goiás é consequência da histórica extração mineral. A grande quantidade de minas existente permitiu a fixação das comunidades ao longo do território e, com o passar do tempo, tornou-se a base para o desenvolvimento do estado de uma forma geral. A configuração desse processo, objeto deste trabalho, demonstra que grande parte das atuais atividades econômicas goianas advém da história de seu processo de ocupação.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</w:p>
    <w:p w:rsidR="00B95EB5" w:rsidRPr="00B95EB5" w:rsidRDefault="00B95EB5" w:rsidP="00B95EB5">
      <w:pPr>
        <w:shd w:val="clear" w:color="auto" w:fill="FFFFFF"/>
        <w:rPr>
          <w:rFonts w:ascii="Bookman Old Style" w:eastAsia="Times New Roman" w:hAnsi="Bookman Old Style" w:cstheme="minorHAnsi"/>
          <w:b/>
        </w:rPr>
      </w:pPr>
      <w:r w:rsidRPr="00B95EB5">
        <w:rPr>
          <w:rFonts w:ascii="Bookman Old Style" w:eastAsia="Times New Roman" w:hAnsi="Bookman Old Style" w:cstheme="minorHAnsi"/>
          <w:b/>
        </w:rPr>
        <w:t>Metodologia</w:t>
      </w:r>
    </w:p>
    <w:p w:rsidR="00B95EB5" w:rsidRPr="00B95EB5" w:rsidRDefault="00B95EB5" w:rsidP="00B95EB5">
      <w:pPr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ab/>
        <w:t>Esta pesquisa visa o levantamento histórico da ocupação do espaço do Cerrado goiano, o que se deu com a chegada dos bandeirantes. Na busca por bibliografia, foram estudados diversos autores. Palacín e os viajantes Saint Hilaire e Pohl contribuíram para o conhecimento dos modos empregados durante a ocupação; Artiaga, Calógeras, Eschwege e Bertran trazem à discussão o aspecto da mineração em si, seja a partir do modo de produção e das quantidades de minério retiradas, seja analisando a questão do “abandono” da mineração; Coelho retrata o modo de ocupação a partir das construções portuguesas e suas adaptações às necessidades regionais e, por fim, Funes contribui com a análise da transição mineração – agropecuária.</w:t>
      </w:r>
    </w:p>
    <w:p w:rsidR="00B95EB5" w:rsidRPr="00B95EB5" w:rsidRDefault="00B95EB5" w:rsidP="00B95EB5">
      <w:pPr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ab/>
        <w:t xml:space="preserve">A análise do material bibliográfico permite o recobrimento de aproximadamente 200 anos da história goiana, focada desde os primeiros viajantes até a transição para a agricultura e pecuária. Como o objetivo dos primeiros bandeirantes era encontrar minérios (basicamente ouro), que justificasse a </w:t>
      </w:r>
      <w:r w:rsidRPr="00B95EB5">
        <w:rPr>
          <w:rFonts w:ascii="Garamond" w:hAnsi="Garamond" w:cstheme="minorHAnsi"/>
        </w:rPr>
        <w:lastRenderedPageBreak/>
        <w:t xml:space="preserve">posse do espaço pela Coroa portuguesa, a mineração é considerada como a principal condição para a ocupação das terras dos </w:t>
      </w:r>
      <w:proofErr w:type="spellStart"/>
      <w:r w:rsidRPr="00B95EB5">
        <w:rPr>
          <w:rFonts w:ascii="Garamond" w:hAnsi="Garamond" w:cstheme="minorHAnsi"/>
        </w:rPr>
        <w:t>Goyazes</w:t>
      </w:r>
      <w:proofErr w:type="spellEnd"/>
      <w:r w:rsidRPr="00B95EB5">
        <w:rPr>
          <w:rFonts w:ascii="Garamond" w:hAnsi="Garamond" w:cstheme="minorHAnsi"/>
        </w:rPr>
        <w:t xml:space="preserve">. </w:t>
      </w:r>
    </w:p>
    <w:p w:rsidR="00B95EB5" w:rsidRDefault="00B95EB5" w:rsidP="00B95EB5">
      <w:pPr>
        <w:shd w:val="clear" w:color="auto" w:fill="FFFFFF"/>
        <w:rPr>
          <w:rFonts w:ascii="Bookman Old Style" w:hAnsi="Bookman Old Style" w:cstheme="minorHAnsi"/>
          <w:b/>
        </w:rPr>
      </w:pPr>
    </w:p>
    <w:p w:rsidR="00B95EB5" w:rsidRPr="00B95EB5" w:rsidRDefault="00B95EB5" w:rsidP="00B95EB5">
      <w:pPr>
        <w:shd w:val="clear" w:color="auto" w:fill="FFFFFF"/>
        <w:rPr>
          <w:rFonts w:ascii="Bookman Old Style" w:eastAsia="Times New Roman" w:hAnsi="Bookman Old Style" w:cstheme="minorHAnsi"/>
          <w:b/>
        </w:rPr>
      </w:pPr>
      <w:r w:rsidRPr="00B95EB5">
        <w:rPr>
          <w:rFonts w:ascii="Bookman Old Style" w:hAnsi="Bookman Old Style" w:cstheme="minorHAnsi"/>
          <w:b/>
        </w:rPr>
        <w:t>Resultados</w:t>
      </w:r>
      <w:r>
        <w:rPr>
          <w:rFonts w:ascii="Bookman Old Style" w:hAnsi="Bookman Old Style" w:cstheme="minorHAnsi"/>
          <w:b/>
        </w:rPr>
        <w:t xml:space="preserve"> e Conclusões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Goiás possui diversos exemplos de garimpos que se tornaram arraiais e depois cidades. Praticamente todas as cidades históricas goianas seguiram este caminho: Cidade de Goiás (Vila Boa), Pirenópolis (Meia Ponte), Luziânia (Santa Luzia), Natividade, Pilar, Crixás, Monte Alegre de Goiás (Morro do Chapéu), dentre outras</w:t>
      </w:r>
      <w:r w:rsidR="00A201EC">
        <w:rPr>
          <w:rFonts w:ascii="Garamond" w:hAnsi="Garamond" w:cstheme="minorHAnsi"/>
        </w:rPr>
        <w:t xml:space="preserve"> (Figura 1)</w:t>
      </w:r>
      <w:r w:rsidRPr="00B95EB5">
        <w:rPr>
          <w:rFonts w:ascii="Garamond" w:hAnsi="Garamond" w:cstheme="minorHAnsi"/>
        </w:rPr>
        <w:t>. Entretanto, poucas cresceram ao longo destes dois séculos e a maior parte apresenta atualmente uma economia pouco desenvolvida.</w:t>
      </w:r>
      <w:r w:rsidR="00A201EC">
        <w:rPr>
          <w:rFonts w:ascii="Garamond" w:hAnsi="Garamond" w:cstheme="minorHAnsi"/>
        </w:rPr>
        <w:t xml:space="preserve"> </w:t>
      </w:r>
      <w:r w:rsidRPr="00B95EB5">
        <w:rPr>
          <w:rFonts w:ascii="Garamond" w:hAnsi="Garamond" w:cstheme="minorHAnsi"/>
        </w:rPr>
        <w:t>O fato de terem se formado nas localidades onde o ouro era encontrado, fez com que os arraiais ficassem dispersos na província, dependentes da localização do metal. A conexão entre eles ocorria por caminhos entre as fazendas, permitindo o escoamento da produção (ouro e alimentos) e também o contrabando.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Nesta época, não havia qualquer interesse em tomar uma região do interior visando torná-la próspera. Após a identificação do ouro e da instalação das áreas de extração, a construção de abrigos mostrou-se importante. Essa nova condição trouxe dificuldades aos desbravadores. A arquitetura característica das casas rurais paulistas, construídas com técnica adaptada a terrenos planos, não pôde ser utilizada nas áreas recém-descobertas devido à topografia. A solução veio com interferências portuguesas e adoção de técnicas adaptadas ao clima, topografia e materiais existentes, produzindo uma arquitetura com características próprias e adequadas às exigências da nova província (COELHO, 2007). Dentre as técnicas estão estruturas como gaiolas de madeira, pau a pique e adobe para as paredes.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A diferença entre a população e as organizações dos núcleos urbanos e construções edificadas em Minas Gerais e Goiás/ Mato Grosso são atribuídas por Coelho (2007) à grande distância destes últimos dos centros da Colônia e à falta de preocupação estética dos aventureiros. A formação da população por aventureiros com maiores limitações culturais e mais rudes, além de fugitivos da justiça e extraviadores de ouro, trouxeram modos, ações e uma arquitetura de simplicidade em projeto e em técnica.</w:t>
      </w:r>
    </w:p>
    <w:p w:rsid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 xml:space="preserve">Para Palacín (2001), os “vestígios” da mineração moldavam o espaço com escavações, remoções de terra e desvio das águas. Esta ação corrobora o posicionamento aventureiro dos “desbravadores” que, visavam o enriquecimento rápido, tinham postura instável e eram pouco interessados na efetiva ocupação do espaço, evitando criar raízes. Assim, desmataram grandes áreas, exploraram grandes regiões e, em parte, “inutilizaram definitivamente o que deveria ser um legado para várias gerações”, conforme a Carta da Câmara de Mariana ao Visconde de Barbacena. Eschwege (1979b) registrou a </w:t>
      </w:r>
      <w:r w:rsidRPr="00B95EB5">
        <w:rPr>
          <w:rFonts w:ascii="Garamond" w:hAnsi="Garamond" w:cstheme="minorHAnsi"/>
        </w:rPr>
        <w:lastRenderedPageBreak/>
        <w:t xml:space="preserve">ocorrência de assoreamentos associados à busca por </w:t>
      </w:r>
      <w:proofErr w:type="gramStart"/>
      <w:r w:rsidRPr="00B95EB5">
        <w:rPr>
          <w:rFonts w:ascii="Garamond" w:hAnsi="Garamond" w:cstheme="minorHAnsi"/>
        </w:rPr>
        <w:t>aluviões auríferos mais profundos</w:t>
      </w:r>
      <w:proofErr w:type="gramEnd"/>
      <w:r w:rsidRPr="00B95EB5">
        <w:rPr>
          <w:rFonts w:ascii="Garamond" w:hAnsi="Garamond" w:cstheme="minorHAnsi"/>
        </w:rPr>
        <w:t xml:space="preserve">. Para Bertran (2010), o povoamento desmedido teria sido responsável por tal devastação. </w:t>
      </w:r>
    </w:p>
    <w:p w:rsidR="00A201EC" w:rsidRDefault="00A201EC" w:rsidP="00A201EC">
      <w:pPr>
        <w:jc w:val="center"/>
        <w:rPr>
          <w:rFonts w:ascii="Garamond" w:hAnsi="Garamond" w:cstheme="minorHAnsi"/>
        </w:rPr>
      </w:pPr>
      <w:r w:rsidRPr="00A201EC">
        <w:rPr>
          <w:rFonts w:ascii="Garamond" w:hAnsi="Garamond" w:cstheme="minorHAnsi"/>
          <w:b/>
        </w:rPr>
        <w:t>Figura 1</w:t>
      </w:r>
      <w:r>
        <w:rPr>
          <w:rFonts w:ascii="Garamond" w:hAnsi="Garamond" w:cstheme="minorHAnsi"/>
        </w:rPr>
        <w:t>. Principais distritos minerais e as áreas de relevante interesse mineral.</w:t>
      </w:r>
    </w:p>
    <w:p w:rsidR="00A201EC" w:rsidRDefault="00A201EC" w:rsidP="00A201EC">
      <w:pPr>
        <w:spacing w:after="0" w:line="240" w:lineRule="auto"/>
        <w:jc w:val="center"/>
        <w:rPr>
          <w:rFonts w:ascii="Garamond" w:hAnsi="Garamond" w:cstheme="minorHAnsi"/>
        </w:rPr>
      </w:pPr>
      <w:r>
        <w:rPr>
          <w:rFonts w:ascii="Garamond" w:hAnsi="Garamond" w:cstheme="minorHAnsi"/>
          <w:noProof/>
        </w:rPr>
        <w:drawing>
          <wp:inline distT="0" distB="0" distL="0" distR="0">
            <wp:extent cx="4574170" cy="7534275"/>
            <wp:effectExtent l="19050" t="0" r="0" b="0"/>
            <wp:docPr id="1" name="Imagem 0" descr="Riquezas de Goiás - ontem e hoje sugestões Tad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quezas de Goiás - ontem e hoje sugestões Tadeu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822" cy="753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702" w:rsidRDefault="00A201EC" w:rsidP="00DA7702">
      <w:pPr>
        <w:spacing w:after="0" w:line="240" w:lineRule="auto"/>
        <w:ind w:right="1274"/>
        <w:jc w:val="right"/>
        <w:rPr>
          <w:rFonts w:ascii="Garamond" w:hAnsi="Garamond" w:cstheme="minorHAnsi"/>
        </w:rPr>
      </w:pPr>
      <w:r>
        <w:rPr>
          <w:rFonts w:ascii="Garamond" w:hAnsi="Garamond" w:cstheme="minorHAnsi"/>
        </w:rPr>
        <w:t>Elaboração da autora.</w:t>
      </w:r>
      <w:proofErr w:type="gramStart"/>
      <w:r w:rsidR="00DA7702">
        <w:rPr>
          <w:rFonts w:ascii="Garamond" w:hAnsi="Garamond" w:cstheme="minorHAnsi"/>
        </w:rPr>
        <w:br w:type="page"/>
      </w:r>
      <w:proofErr w:type="gramEnd"/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lastRenderedPageBreak/>
        <w:t>Semelhante ao que ocorre hoje, o garimpo “surge” e os aventureiros se acumulam de qualquer forma. No século XVIII, “assim que se descobria uma boa ocorrência, ninguém mais respeitava a propriedade alheia” (ESCHWEGE, 1979a). Não havia metodologia para a extração aurífera e, com a dificuldade de sua execução, os esforços eram proporcionalmente maiores. À medida que as áreas foram sendo “lavadas”, aumentava a incerteza de encontrar um local ainda não lavrado, o que levou a empreitadas inúteis, à degradação dos rios e à dispersão dos faiscadores.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As lavras em Goiás eram, em sua maioria, a céu aberto. Isto ocorreu como resultado dos ricos depósitos em cascalho, pelo baixo conhecimento técnico de extração mineral e pela falta de organização dos aventureiros, que praticamente exploravam garimpos e não minas, conforme Calógeras (1938). Eschwege (1979b) afirma que parte dos aventureiros nas antigas minas de São Paulo migrou para as recém-descobertas áreas de Minas Gerais, Mato Grosso e Goiás, e outra parte passou a investir na agricultura em vilas próximas ao litoral, por considerá-la mais rentável.</w:t>
      </w:r>
    </w:p>
    <w:p w:rsidR="00B95EB5" w:rsidRPr="00B95EB5" w:rsidRDefault="00B95EB5" w:rsidP="00B95EB5">
      <w:pPr>
        <w:shd w:val="clear" w:color="auto" w:fill="FFFFFF"/>
        <w:ind w:firstLine="567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 xml:space="preserve">Eschwege (1979b) era crítico do processo de extração aurífera brasileiro: as ações do faiscador, a falta de técnica empregada, a forma como o governo lidava com a distribuição das áreas aos mineiros e elaborava as leis que regulamentavam a mineração. Sobre a falta de técnica adequada para a extração do ouro, relata que “o ouro não se esgotou, e sim a técnica”. Isto porque teria sido extraído apenas o ouro superficial, mais fácil, permanecendo intactos os veios e depósitos principais. </w:t>
      </w:r>
    </w:p>
    <w:p w:rsidR="00B95EB5" w:rsidRPr="00B95EB5" w:rsidRDefault="00B95EB5" w:rsidP="00B95EB5">
      <w:pPr>
        <w:ind w:firstLine="567"/>
        <w:rPr>
          <w:rFonts w:ascii="Garamond" w:eastAsia="Times New Roman" w:hAnsi="Garamond"/>
        </w:rPr>
      </w:pPr>
      <w:r w:rsidRPr="00B95EB5">
        <w:rPr>
          <w:rFonts w:ascii="Garamond" w:eastAsia="Times New Roman" w:hAnsi="Garamond"/>
        </w:rPr>
        <w:t>Auguste de Saint Hilaire (1937) classificou as lavras em mineração de morro e de cascalho, declarando que</w:t>
      </w:r>
      <w:r w:rsidRPr="00B95EB5">
        <w:rPr>
          <w:rFonts w:ascii="Garamond" w:hAnsi="Garamond"/>
        </w:rPr>
        <w:t xml:space="preserve"> conhecia apenas a exploração do leito dos rios ou suas margens.</w:t>
      </w:r>
      <w:r w:rsidRPr="00B95EB5">
        <w:rPr>
          <w:rFonts w:ascii="Garamond" w:eastAsia="Times New Roman" w:hAnsi="Garamond"/>
        </w:rPr>
        <w:t xml:space="preserve"> Em 1819, nas lavras goianas, </w:t>
      </w:r>
      <w:r w:rsidRPr="00B95EB5">
        <w:rPr>
          <w:rFonts w:ascii="Garamond" w:hAnsi="Garamond"/>
        </w:rPr>
        <w:t xml:space="preserve">não havia exploração de nenhuma mina a céu aberto ou galerias. </w:t>
      </w:r>
    </w:p>
    <w:p w:rsidR="00B95EB5" w:rsidRPr="00B95EB5" w:rsidRDefault="00B95EB5" w:rsidP="00B95EB5">
      <w:pPr>
        <w:shd w:val="clear" w:color="auto" w:fill="FFFFFF"/>
        <w:ind w:firstLine="567"/>
        <w:rPr>
          <w:rFonts w:ascii="Garamond" w:eastAsia="Times New Roman" w:hAnsi="Garamond" w:cstheme="minorHAnsi"/>
        </w:rPr>
      </w:pPr>
      <w:r w:rsidRPr="00B95EB5">
        <w:rPr>
          <w:rFonts w:ascii="Garamond" w:eastAsia="Times New Roman" w:hAnsi="Garamond" w:cstheme="minorHAnsi"/>
        </w:rPr>
        <w:t xml:space="preserve">A mineração de cascalho, descrita por Palacín (2001), foi realizada em rios, tabuleiros (catas) ou nas encostas (grupiaras). Nas três, após a retirada do cascalho, a apuração do ouro era na bateia. A diferença entre eles está na maneira de se lavar o cascalho: retirando do rio, desviando a corrente ou fazendo barragens nas catas e, nas grupiaras desviando canais de água do curso original. Estes métodos, apesar de serem rudimentares e de baixa rentabilidade, ainda são empregados devido o baixo custo e valerem-se de pouco maquinário, porém trazem alterações complexas aos ambientes natural e hídrico. </w:t>
      </w:r>
    </w:p>
    <w:p w:rsidR="00B95EB5" w:rsidRPr="00B95EB5" w:rsidRDefault="00B95EB5" w:rsidP="00B95EB5">
      <w:pPr>
        <w:shd w:val="clear" w:color="auto" w:fill="FFFFFF"/>
        <w:ind w:firstLine="567"/>
        <w:rPr>
          <w:rFonts w:ascii="Garamond" w:eastAsia="Times New Roman" w:hAnsi="Garamond" w:cstheme="minorHAnsi"/>
        </w:rPr>
      </w:pPr>
      <w:r w:rsidRPr="00B95EB5">
        <w:rPr>
          <w:rFonts w:ascii="Garamond" w:eastAsia="Times New Roman" w:hAnsi="Garamond" w:cstheme="minorHAnsi"/>
        </w:rPr>
        <w:t xml:space="preserve">Quanto à mineração de morro, apesar de pouco praticada em Goiás, há relatos de Saint Hilaire e Dr. Pohl em Cavalcante e Pilar. O pequeno interesse neste tipo de mineração era, provavelmente, a grande quantidade do minério na superfície, a necessidade de </w:t>
      </w:r>
      <w:r w:rsidRPr="00B95EB5">
        <w:rPr>
          <w:rFonts w:ascii="Garamond" w:hAnsi="Garamond" w:cstheme="minorHAnsi"/>
        </w:rPr>
        <w:t>britar e pulverizar as rochas em busca do ouro, antes de serem lavadas e bateadas. O</w:t>
      </w:r>
      <w:r w:rsidRPr="00B95EB5">
        <w:rPr>
          <w:rFonts w:ascii="Garamond" w:eastAsia="Times New Roman" w:hAnsi="Garamond" w:cstheme="minorHAnsi"/>
        </w:rPr>
        <w:t xml:space="preserve"> tipo do aventureiro instalado na região (nômade, “pequeno investidor”, com poucos recursos) e a dificuldade em operar cortes nas montanhas são </w:t>
      </w:r>
      <w:proofErr w:type="gramStart"/>
      <w:r w:rsidRPr="00B95EB5">
        <w:rPr>
          <w:rFonts w:ascii="Garamond" w:eastAsia="Times New Roman" w:hAnsi="Garamond" w:cstheme="minorHAnsi"/>
        </w:rPr>
        <w:t>outras motivos</w:t>
      </w:r>
      <w:proofErr w:type="gramEnd"/>
      <w:r w:rsidRPr="00B95EB5">
        <w:rPr>
          <w:rFonts w:ascii="Garamond" w:eastAsia="Times New Roman" w:hAnsi="Garamond" w:cstheme="minorHAnsi"/>
        </w:rPr>
        <w:t xml:space="preserve"> para a pequena existência deste tipo de mineração.</w:t>
      </w:r>
    </w:p>
    <w:p w:rsidR="00B95EB5" w:rsidRPr="00B95EB5" w:rsidRDefault="00B95EB5" w:rsidP="00B95EB5">
      <w:pPr>
        <w:ind w:firstLine="567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lastRenderedPageBreak/>
        <w:t>Após a estocagem e lavagem do ouro nas bateias, ocorre a amalgamação. Eschwege (1979a) a expõe com uso do mercúrio nas explorações onde a apuração com a bateia é difícil, por ser de granulometria muito fina. A contaminação das águas e do solo por mercúrio é contada por Bertran (2010) em sua tese de que, juntamente com o excesso de fogo usado para “abrir o sertão”, inviabilizou a caça, pesca e coleta indígena, acelerando a rendição.</w:t>
      </w:r>
    </w:p>
    <w:p w:rsidR="00B95EB5" w:rsidRPr="00B95EB5" w:rsidRDefault="00B95EB5" w:rsidP="00B95EB5">
      <w:pPr>
        <w:ind w:firstLine="567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 xml:space="preserve">Eschwege (1979a) estima, com a arrecadação do Quinto entre 1720 e 1730, que Goiás tenha produzido 9.212 arrobas (135.416 quilos). O ouro exportado por contrabando, entre 1600 e 1820, teria sido de aproximadamente 10.531 arrobas (154.805 quilos). </w:t>
      </w:r>
      <w:r w:rsidRPr="00B95EB5">
        <w:rPr>
          <w:rFonts w:ascii="Garamond" w:eastAsia="Times New Roman" w:hAnsi="Garamond" w:cstheme="minorHAnsi"/>
        </w:rPr>
        <w:t xml:space="preserve">Segundo Cornejo &amp; Bartorelli (2010), entre 1730 e 1799, calculou-se a produção de ouro nas minas de Chapada de Ouro Fino, Barra, Santa Cruz, Natividade e Pilar em mais de 159 toneladas. </w:t>
      </w:r>
      <w:r w:rsidRPr="00B95EB5">
        <w:rPr>
          <w:rFonts w:ascii="Garamond" w:hAnsi="Garamond" w:cstheme="minorHAnsi"/>
        </w:rPr>
        <w:t>Os historiadores não chegam a um consenso sobre quantidades e tampouco valores de venda, o que impede o estabelecimento das quantias. Neste trabalho optou-se por usar os dados de Eschwege por serem os conseguidos por ele juntamente às casas de fundição à época da publicação de seu livro, no século XIX. Esta dificuldade é encontrada também ao estabelecer o tamanho da população de brancos e de escravos.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Coelho (2007) expõe que o “despovoamento” de Goiás inicia-se à medida que o auge da mineração se encerra, por volta do início do século XIX. Esta fixação instável decorre da maneira como a economia mineradora se instalou, não focada no estabelecimento da agropecuária, da construção de riquezas sólidas e no baixo interesse de parte da população em ocupar de forma permanente a região. Conforme Palacín (2001), a fugacidade de seu momento de prosperidade não deu tempo à sedimentação de uma verdadeira cultura em nenhum dos campos.</w:t>
      </w:r>
    </w:p>
    <w:p w:rsidR="00B95EB5" w:rsidRPr="00B95EB5" w:rsidRDefault="00B95EB5" w:rsidP="00B95EB5">
      <w:pPr>
        <w:ind w:firstLine="708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>Funes (1986) pondera quatro condicionantes importantes para a diminuição da renda da mineração em Goiás durante o período colonial: a mineração deixou de ser produtiva em função da utilização de técnicas rudimentares; da falta de braços para o trabalho; da insuficiência de capital; e da carência de empenho das autoridades dedicadas à arrecadação do quinto. Agrega-se ainda o fato analisado tanto por Palacín (2001) quanto por Coelho (2007): o caráter individualista do mineiro que buscava enriquecimento rápido sem investimentos adequados e falta de tendência em formar associações duradouras.</w:t>
      </w:r>
    </w:p>
    <w:p w:rsidR="00B95EB5" w:rsidRPr="00B95EB5" w:rsidRDefault="00B95EB5" w:rsidP="00B95EB5">
      <w:pPr>
        <w:shd w:val="clear" w:color="auto" w:fill="FFFFFF"/>
        <w:ind w:firstLine="567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 xml:space="preserve">A produção nas fazendas sempre existiu, posto que a alimentação, obviamente, é um item de primeira necessidade. Entretanto, a produção da província, tanto de agricultura quanto pecuária, naquela época era voltada para consumo interno e não estimulada pelo governo, focado exclusivamente na extração mineral. A crise mineral atingiu também os agricultores, que perderam mercado, pois os mineradores não poderiam mais consumir as mercadorias. Essa dificuldade obrigou o governo a mobilizar-se em prol da agricultura, mesmo que despendendo muito tempo e recursos, exigindo a </w:t>
      </w:r>
      <w:r w:rsidRPr="00B95EB5">
        <w:rPr>
          <w:rFonts w:ascii="Garamond" w:hAnsi="Garamond" w:cstheme="minorHAnsi"/>
        </w:rPr>
        <w:lastRenderedPageBreak/>
        <w:t>comercialização com o Pará. As atuações governamentais foram insatisfatórias e não conseguiram dinamizar a agropecuária e, desta forma, coube aos “roceiros” resistir como podiam.</w:t>
      </w:r>
    </w:p>
    <w:p w:rsidR="00B95EB5" w:rsidRPr="00B95EB5" w:rsidRDefault="00B95EB5" w:rsidP="00B95EB5">
      <w:pPr>
        <w:autoSpaceDE w:val="0"/>
        <w:autoSpaceDN w:val="0"/>
        <w:adjustRightInd w:val="0"/>
        <w:ind w:firstLine="567"/>
        <w:rPr>
          <w:rFonts w:ascii="Garamond" w:eastAsiaTheme="minorHAnsi" w:hAnsi="Garamond" w:cstheme="minorHAnsi"/>
          <w:lang w:eastAsia="en-US"/>
        </w:rPr>
      </w:pPr>
      <w:r w:rsidRPr="00B95EB5">
        <w:rPr>
          <w:rFonts w:ascii="Garamond" w:hAnsi="Garamond" w:cstheme="minorHAnsi"/>
        </w:rPr>
        <w:t>Teixeira Neto (2006) avalia que</w:t>
      </w:r>
      <w:r w:rsidRPr="00B95EB5">
        <w:rPr>
          <w:rFonts w:ascii="Garamond" w:eastAsiaTheme="minorHAnsi" w:hAnsi="Garamond" w:cstheme="minorHAnsi"/>
          <w:lang w:eastAsia="en-US"/>
        </w:rPr>
        <w:t xml:space="preserve"> o peso da administração colonial, o rigor das leis e impostos que recaíam sobre a população, principalmente a cobrança dos dízimos não instigavam qualquer iniciativa relacionada com a produção do campo e que, assim como hoje, são desestimulantes para os pequenos produtores. O autor afirma ainda que a distribuição das terras não se realizou de modo a promover pequenas propriedades camponesas e sim oligarquias em latifúndios, possibilitando posteriormente, a geração de movimentos camponeses revoltosos, como o de Trombas e Formoso, ocorrido em Goiás entre os anos de 1950 e 1957.</w:t>
      </w:r>
    </w:p>
    <w:p w:rsidR="00B95EB5" w:rsidRPr="00B95EB5" w:rsidRDefault="00B95EB5" w:rsidP="00B95EB5">
      <w:pPr>
        <w:shd w:val="clear" w:color="auto" w:fill="FFFFFF"/>
        <w:ind w:firstLine="567"/>
        <w:rPr>
          <w:rFonts w:ascii="Garamond" w:hAnsi="Garamond" w:cstheme="minorHAnsi"/>
        </w:rPr>
      </w:pPr>
      <w:r w:rsidRPr="00B95EB5">
        <w:rPr>
          <w:rFonts w:ascii="Garamond" w:hAnsi="Garamond" w:cstheme="minorHAnsi"/>
        </w:rPr>
        <w:t xml:space="preserve">A migração de paulistas e mineiros para as regiões Sul e Sudoeste de Goiás a partir da década de 1830 foi importante para a economia goiana, porém insuficiente para torná-la competitiva (Funes, 1986). Bertran (2010) descreve ao longo do Vão do Paranã havia </w:t>
      </w:r>
      <w:proofErr w:type="gramStart"/>
      <w:r w:rsidRPr="00B95EB5">
        <w:rPr>
          <w:rFonts w:ascii="Garamond" w:hAnsi="Garamond" w:cstheme="minorHAnsi"/>
        </w:rPr>
        <w:t>uma bem</w:t>
      </w:r>
      <w:proofErr w:type="gramEnd"/>
      <w:r w:rsidRPr="00B95EB5">
        <w:rPr>
          <w:rFonts w:ascii="Garamond" w:hAnsi="Garamond" w:cstheme="minorHAnsi"/>
        </w:rPr>
        <w:t xml:space="preserve"> adaptada pecuária que estabelecia negócios com os estados da Bahia e Pará, mas que também não produzia o suficiente para além de sua subsistência. </w:t>
      </w:r>
    </w:p>
    <w:p w:rsidR="00B95EB5" w:rsidRDefault="00B95EB5" w:rsidP="00B95EB5">
      <w:pPr>
        <w:pStyle w:val="Texto"/>
        <w:rPr>
          <w:rFonts w:cstheme="minorHAnsi"/>
        </w:rPr>
      </w:pPr>
      <w:r w:rsidRPr="00B95EB5">
        <w:rPr>
          <w:rFonts w:cstheme="minorHAnsi"/>
        </w:rPr>
        <w:t>Conhecendo o histórico brasileiro de extração dos recursos minerais não renováveis, são mais de duzentos anos de exploração sem preocupação com a extração mineral. Principalmente se avaliarmos o minério como um bem ambiental, houve despropósito na falta de regulação, controle, planejamento do aproveitamento mineral, trazendo danos pouco identificados ou conhecidos.</w:t>
      </w:r>
    </w:p>
    <w:p w:rsidR="00B3083F" w:rsidRPr="00B95EB5" w:rsidRDefault="00B3083F" w:rsidP="00B95EB5">
      <w:pPr>
        <w:pStyle w:val="Texto"/>
      </w:pPr>
    </w:p>
    <w:p w:rsidR="00267716" w:rsidRPr="009C57AB" w:rsidRDefault="007E1D87" w:rsidP="00557B0D">
      <w:pPr>
        <w:pStyle w:val="TextoTitulo1"/>
        <w:rPr>
          <w:lang w:val="pt-BR"/>
        </w:rPr>
      </w:pPr>
      <w:r w:rsidRPr="009C57AB">
        <w:rPr>
          <w:lang w:val="pt-BR"/>
        </w:rPr>
        <w:t>Referências</w:t>
      </w:r>
    </w:p>
    <w:p w:rsidR="00C27CEC" w:rsidRDefault="00C27CEC" w:rsidP="00C27CEC">
      <w:pPr>
        <w:spacing w:before="120" w:after="240" w:line="240" w:lineRule="auto"/>
        <w:rPr>
          <w:rFonts w:ascii="Garamond" w:hAnsi="Garamond" w:cs="Arial"/>
        </w:rPr>
      </w:pPr>
      <w:r w:rsidRPr="00C27CEC">
        <w:rPr>
          <w:rFonts w:ascii="Garamond" w:hAnsi="Garamond" w:cs="Arial"/>
        </w:rPr>
        <w:t>ARTIAGA, Z. 1951</w:t>
      </w:r>
      <w:r>
        <w:rPr>
          <w:rFonts w:ascii="Garamond" w:hAnsi="Garamond" w:cs="Arial"/>
        </w:rPr>
        <w:t>.</w:t>
      </w:r>
      <w:r w:rsidRPr="00C27CEC">
        <w:rPr>
          <w:rFonts w:ascii="Garamond" w:hAnsi="Garamond" w:cs="Arial"/>
        </w:rPr>
        <w:t xml:space="preserve"> </w:t>
      </w:r>
      <w:r w:rsidRPr="00C27CEC">
        <w:rPr>
          <w:rFonts w:ascii="Garamond" w:hAnsi="Garamond" w:cs="Arial"/>
          <w:i/>
        </w:rPr>
        <w:t xml:space="preserve">Geografia Econômica Histórica e Descritiva do Estado de </w:t>
      </w:r>
      <w:proofErr w:type="spellStart"/>
      <w:r w:rsidRPr="00C27CEC">
        <w:rPr>
          <w:rFonts w:ascii="Garamond" w:hAnsi="Garamond" w:cs="Arial"/>
          <w:i/>
        </w:rPr>
        <w:t>Goiaz</w:t>
      </w:r>
      <w:proofErr w:type="spellEnd"/>
      <w:r w:rsidRPr="00C27CEC">
        <w:rPr>
          <w:rFonts w:ascii="Garamond" w:hAnsi="Garamond" w:cs="Arial"/>
          <w:i/>
        </w:rPr>
        <w:t>.</w:t>
      </w:r>
      <w:r w:rsidRPr="00C27CEC">
        <w:rPr>
          <w:rFonts w:ascii="Garamond" w:hAnsi="Garamond" w:cs="Arial"/>
        </w:rPr>
        <w:t xml:space="preserve"> 1º Tomo. Tipografia Triângulo. 253p.</w:t>
      </w:r>
    </w:p>
    <w:p w:rsidR="007C09C4" w:rsidRDefault="007C09C4" w:rsidP="00AF1C6C">
      <w:pPr>
        <w:spacing w:before="120" w:after="240" w:line="240" w:lineRule="auto"/>
        <w:rPr>
          <w:rFonts w:ascii="Garamond" w:hAnsi="Garamond" w:cs="Arial"/>
          <w:lang w:val="en-US"/>
        </w:rPr>
      </w:pPr>
      <w:r w:rsidRPr="007C09C4">
        <w:rPr>
          <w:rFonts w:ascii="Garamond" w:hAnsi="Garamond" w:cs="Arial"/>
        </w:rPr>
        <w:t xml:space="preserve">BERTRAN, P. </w:t>
      </w:r>
      <w:r w:rsidRPr="00771E22">
        <w:rPr>
          <w:rFonts w:ascii="Garamond" w:hAnsi="Garamond" w:cs="Arial"/>
        </w:rPr>
        <w:t>2010.</w:t>
      </w:r>
      <w:r w:rsidRPr="007C09C4">
        <w:rPr>
          <w:rFonts w:ascii="Garamond" w:hAnsi="Garamond" w:cs="Arial"/>
        </w:rPr>
        <w:t xml:space="preserve"> </w:t>
      </w:r>
      <w:r w:rsidRPr="007C09C4">
        <w:rPr>
          <w:rFonts w:ascii="Garamond" w:hAnsi="Garamond" w:cs="Arial"/>
          <w:i/>
        </w:rPr>
        <w:t>Notícia Geral da Capitania de Goiás em 1783</w:t>
      </w:r>
      <w:r w:rsidRPr="007C09C4">
        <w:rPr>
          <w:rFonts w:ascii="Garamond" w:hAnsi="Garamond" w:cs="Arial"/>
        </w:rPr>
        <w:t xml:space="preserve">. </w:t>
      </w:r>
      <w:proofErr w:type="spellStart"/>
      <w:r w:rsidRPr="007C09C4">
        <w:rPr>
          <w:rFonts w:ascii="Garamond" w:hAnsi="Garamond" w:cs="Arial"/>
          <w:lang w:val="en-US"/>
        </w:rPr>
        <w:t>Goiânia</w:t>
      </w:r>
      <w:proofErr w:type="spellEnd"/>
      <w:r w:rsidRPr="007C09C4">
        <w:rPr>
          <w:rFonts w:ascii="Garamond" w:hAnsi="Garamond" w:cs="Arial"/>
          <w:lang w:val="en-US"/>
        </w:rPr>
        <w:t xml:space="preserve">: ICBC. </w:t>
      </w:r>
      <w:proofErr w:type="gramStart"/>
      <w:r w:rsidRPr="007C09C4">
        <w:rPr>
          <w:rFonts w:ascii="Garamond" w:hAnsi="Garamond" w:cs="Arial"/>
          <w:lang w:val="en-US"/>
        </w:rPr>
        <w:t>2ª Ed. 216p.</w:t>
      </w:r>
      <w:proofErr w:type="gramEnd"/>
    </w:p>
    <w:p w:rsidR="001632DD" w:rsidRPr="001632DD" w:rsidRDefault="001632DD" w:rsidP="001632DD">
      <w:pPr>
        <w:spacing w:before="120" w:after="240" w:line="240" w:lineRule="auto"/>
        <w:rPr>
          <w:rFonts w:ascii="Garamond" w:hAnsi="Garamond" w:cs="Arial"/>
        </w:rPr>
      </w:pPr>
      <w:r w:rsidRPr="001632DD">
        <w:rPr>
          <w:rFonts w:ascii="Garamond" w:hAnsi="Garamond" w:cs="Arial"/>
        </w:rPr>
        <w:t xml:space="preserve">CALÓGERAS, P. 1938. </w:t>
      </w:r>
      <w:r w:rsidRPr="001632DD">
        <w:rPr>
          <w:rFonts w:ascii="Garamond" w:hAnsi="Garamond" w:cs="Arial"/>
          <w:i/>
        </w:rPr>
        <w:t xml:space="preserve">As Minas do Brasil e sua Legislação (Geologia Econômica do Brasil). Distribuição Geográfica dos Depósitos Auríferos. </w:t>
      </w:r>
      <w:r w:rsidRPr="001632DD">
        <w:rPr>
          <w:rFonts w:ascii="Garamond" w:hAnsi="Garamond" w:cs="Arial"/>
        </w:rPr>
        <w:t xml:space="preserve">Tomo 3º. 2ª Ed. Série 5ª Brasiliana. Vol. 134. </w:t>
      </w:r>
      <w:proofErr w:type="spellStart"/>
      <w:r w:rsidRPr="001632DD">
        <w:rPr>
          <w:rFonts w:ascii="Garamond" w:hAnsi="Garamond" w:cs="Arial"/>
        </w:rPr>
        <w:t>Bibliotheca</w:t>
      </w:r>
      <w:proofErr w:type="spellEnd"/>
      <w:r w:rsidRPr="001632DD">
        <w:rPr>
          <w:rFonts w:ascii="Garamond" w:hAnsi="Garamond" w:cs="Arial"/>
        </w:rPr>
        <w:t xml:space="preserve"> </w:t>
      </w:r>
      <w:proofErr w:type="spellStart"/>
      <w:r w:rsidRPr="001632DD">
        <w:rPr>
          <w:rFonts w:ascii="Garamond" w:hAnsi="Garamond" w:cs="Arial"/>
        </w:rPr>
        <w:t>Pedagogica</w:t>
      </w:r>
      <w:proofErr w:type="spellEnd"/>
      <w:r w:rsidRPr="001632DD">
        <w:rPr>
          <w:rFonts w:ascii="Garamond" w:hAnsi="Garamond" w:cs="Arial"/>
        </w:rPr>
        <w:t xml:space="preserve"> Brasileira. 507p. </w:t>
      </w:r>
    </w:p>
    <w:p w:rsidR="00D05B4C" w:rsidRPr="00D05B4C" w:rsidRDefault="00D05B4C" w:rsidP="00D05B4C">
      <w:pPr>
        <w:spacing w:before="120" w:after="240" w:line="240" w:lineRule="auto"/>
        <w:rPr>
          <w:rFonts w:ascii="Garamond" w:hAnsi="Garamond" w:cs="Arial"/>
        </w:rPr>
      </w:pPr>
      <w:r w:rsidRPr="00D05B4C">
        <w:rPr>
          <w:rFonts w:ascii="Garamond" w:hAnsi="Garamond" w:cs="Arial"/>
        </w:rPr>
        <w:t xml:space="preserve">COELHO, G.N. 2007. </w:t>
      </w:r>
      <w:r w:rsidRPr="00D05B4C">
        <w:rPr>
          <w:rFonts w:ascii="Garamond" w:hAnsi="Garamond" w:cs="Arial"/>
          <w:i/>
        </w:rPr>
        <w:t>Arquitetura da Mineração em Goiás</w:t>
      </w:r>
      <w:r w:rsidRPr="00D05B4C">
        <w:rPr>
          <w:rFonts w:ascii="Garamond" w:hAnsi="Garamond" w:cs="Arial"/>
        </w:rPr>
        <w:t>. 2ª ed. rev. e atual. Goiânia: Trilhas Urbanas. 102p.</w:t>
      </w:r>
    </w:p>
    <w:p w:rsidR="007C09C4" w:rsidRDefault="007C09C4" w:rsidP="007C09C4">
      <w:pPr>
        <w:spacing w:before="120" w:after="240" w:line="240" w:lineRule="auto"/>
        <w:rPr>
          <w:rFonts w:ascii="Garamond" w:hAnsi="Garamond" w:cs="Arial"/>
        </w:rPr>
      </w:pPr>
      <w:r w:rsidRPr="00C27CEC">
        <w:rPr>
          <w:rFonts w:ascii="Garamond" w:hAnsi="Garamond" w:cs="Arial"/>
        </w:rPr>
        <w:t xml:space="preserve">CORNEJO, C.; BARTORELLI, A. 2010. </w:t>
      </w:r>
      <w:r w:rsidRPr="00C27CEC">
        <w:rPr>
          <w:rFonts w:ascii="Garamond" w:hAnsi="Garamond" w:cs="Arial"/>
          <w:i/>
        </w:rPr>
        <w:t>Minerais e Pedras Preciosas do Brasil</w:t>
      </w:r>
      <w:r w:rsidRPr="00C27CEC">
        <w:rPr>
          <w:rFonts w:ascii="Garamond" w:hAnsi="Garamond" w:cs="Arial"/>
        </w:rPr>
        <w:t>. São Paulo: Solaris Edições Culturais. 704p.</w:t>
      </w:r>
    </w:p>
    <w:p w:rsidR="00357784" w:rsidRPr="00357784" w:rsidRDefault="00357784" w:rsidP="00357784">
      <w:pPr>
        <w:spacing w:before="120" w:after="240" w:line="240" w:lineRule="auto"/>
        <w:rPr>
          <w:rFonts w:ascii="Garamond" w:hAnsi="Garamond" w:cs="Arial"/>
        </w:rPr>
      </w:pPr>
      <w:r w:rsidRPr="00A0709B">
        <w:rPr>
          <w:rFonts w:ascii="Garamond" w:hAnsi="Garamond" w:cs="Arial"/>
          <w:lang w:val="en-US"/>
        </w:rPr>
        <w:t xml:space="preserve">ESCHWEGE, </w:t>
      </w:r>
      <w:proofErr w:type="spellStart"/>
      <w:r w:rsidRPr="00A0709B">
        <w:rPr>
          <w:rFonts w:ascii="Garamond" w:hAnsi="Garamond" w:cs="Arial"/>
          <w:lang w:val="en-US"/>
        </w:rPr>
        <w:t>W.L.von</w:t>
      </w:r>
      <w:proofErr w:type="spellEnd"/>
      <w:r w:rsidRPr="00A0709B">
        <w:rPr>
          <w:rFonts w:ascii="Garamond" w:hAnsi="Garamond" w:cs="Arial"/>
          <w:lang w:val="en-US"/>
        </w:rPr>
        <w:t xml:space="preserve"> 1979a. </w:t>
      </w:r>
      <w:proofErr w:type="spellStart"/>
      <w:r w:rsidRPr="00357784">
        <w:rPr>
          <w:rFonts w:ascii="Garamond" w:hAnsi="Garamond" w:cs="Arial"/>
          <w:i/>
        </w:rPr>
        <w:t>Pluto</w:t>
      </w:r>
      <w:proofErr w:type="spellEnd"/>
      <w:r w:rsidRPr="00357784">
        <w:rPr>
          <w:rFonts w:ascii="Garamond" w:hAnsi="Garamond" w:cs="Arial"/>
          <w:i/>
        </w:rPr>
        <w:t xml:space="preserve"> Brasiliensis</w:t>
      </w:r>
      <w:r w:rsidRPr="00357784">
        <w:rPr>
          <w:rFonts w:ascii="Garamond" w:hAnsi="Garamond" w:cs="Arial"/>
        </w:rPr>
        <w:t>. Belo Horizonte: Ed. Itatiaia; São Paulo: Ed. USP. 1º vol. 222p.</w:t>
      </w:r>
    </w:p>
    <w:p w:rsidR="00357784" w:rsidRPr="00357784" w:rsidRDefault="00357784" w:rsidP="00357784">
      <w:pPr>
        <w:spacing w:before="120" w:after="240" w:line="240" w:lineRule="auto"/>
        <w:rPr>
          <w:rFonts w:ascii="Garamond" w:hAnsi="Garamond" w:cs="Arial"/>
        </w:rPr>
      </w:pPr>
      <w:r w:rsidRPr="00A0709B">
        <w:rPr>
          <w:rFonts w:ascii="Garamond" w:hAnsi="Garamond" w:cs="Arial"/>
          <w:lang w:val="en-US"/>
        </w:rPr>
        <w:lastRenderedPageBreak/>
        <w:t xml:space="preserve">ESCHWEGE, </w:t>
      </w:r>
      <w:proofErr w:type="spellStart"/>
      <w:r w:rsidRPr="00A0709B">
        <w:rPr>
          <w:rFonts w:ascii="Garamond" w:hAnsi="Garamond" w:cs="Arial"/>
          <w:lang w:val="en-US"/>
        </w:rPr>
        <w:t>W.L.von</w:t>
      </w:r>
      <w:proofErr w:type="spellEnd"/>
      <w:r w:rsidRPr="00A0709B">
        <w:rPr>
          <w:rFonts w:ascii="Garamond" w:hAnsi="Garamond" w:cs="Arial"/>
          <w:lang w:val="en-US"/>
        </w:rPr>
        <w:t xml:space="preserve"> 1979b. </w:t>
      </w:r>
      <w:proofErr w:type="spellStart"/>
      <w:r w:rsidRPr="00357784">
        <w:rPr>
          <w:rFonts w:ascii="Garamond" w:hAnsi="Garamond" w:cs="Arial"/>
          <w:i/>
        </w:rPr>
        <w:t>Pluto</w:t>
      </w:r>
      <w:proofErr w:type="spellEnd"/>
      <w:r w:rsidRPr="00357784">
        <w:rPr>
          <w:rFonts w:ascii="Garamond" w:hAnsi="Garamond" w:cs="Arial"/>
          <w:i/>
        </w:rPr>
        <w:t xml:space="preserve"> Brasiliensis</w:t>
      </w:r>
      <w:r w:rsidRPr="00357784">
        <w:rPr>
          <w:rFonts w:ascii="Garamond" w:hAnsi="Garamond" w:cs="Arial"/>
        </w:rPr>
        <w:t>. Belo Horizonte: Ed. Itatiaia; São Paulo: Ed. USP. 2º vol. 306p.</w:t>
      </w:r>
    </w:p>
    <w:p w:rsidR="00AF1C6C" w:rsidRPr="00AF1C6C" w:rsidRDefault="00AF1C6C" w:rsidP="00AF1C6C">
      <w:pPr>
        <w:spacing w:before="120" w:after="240" w:line="240" w:lineRule="auto"/>
        <w:rPr>
          <w:rFonts w:ascii="Garamond" w:hAnsi="Garamond" w:cs="Arial"/>
          <w:bCs/>
          <w:shd w:val="clear" w:color="auto" w:fill="FFFFFF"/>
        </w:rPr>
      </w:pPr>
      <w:r w:rsidRPr="00AF1C6C">
        <w:rPr>
          <w:rFonts w:ascii="Garamond" w:hAnsi="Garamond" w:cs="Arial"/>
          <w:bCs/>
          <w:shd w:val="clear" w:color="auto" w:fill="FFFFFF"/>
        </w:rPr>
        <w:t xml:space="preserve">FUNES, E.A. 1986. </w:t>
      </w:r>
      <w:r w:rsidRPr="00AF1C6C">
        <w:rPr>
          <w:rFonts w:ascii="Garamond" w:hAnsi="Garamond" w:cs="Arial"/>
          <w:bCs/>
          <w:i/>
          <w:shd w:val="clear" w:color="auto" w:fill="FFFFFF"/>
        </w:rPr>
        <w:t>Goiás 1800-1850: um período de transição da mineração à agropecuária</w:t>
      </w:r>
      <w:r w:rsidRPr="00AF1C6C">
        <w:rPr>
          <w:rFonts w:ascii="Garamond" w:hAnsi="Garamond" w:cs="Arial"/>
          <w:b/>
          <w:bCs/>
          <w:shd w:val="clear" w:color="auto" w:fill="FFFFFF"/>
        </w:rPr>
        <w:t>.</w:t>
      </w:r>
      <w:r w:rsidRPr="00AF1C6C">
        <w:rPr>
          <w:rFonts w:ascii="Garamond" w:hAnsi="Garamond" w:cs="Arial"/>
          <w:bCs/>
          <w:shd w:val="clear" w:color="auto" w:fill="FFFFFF"/>
        </w:rPr>
        <w:t xml:space="preserve"> Goiânia: Ed. UFG. 176p.</w:t>
      </w:r>
    </w:p>
    <w:p w:rsidR="00C27CEC" w:rsidRPr="00A201EC" w:rsidRDefault="00C27CEC" w:rsidP="00C27CEC">
      <w:pPr>
        <w:spacing w:before="120" w:after="240" w:line="240" w:lineRule="auto"/>
        <w:rPr>
          <w:rFonts w:ascii="Garamond" w:hAnsi="Garamond" w:cs="Arial"/>
        </w:rPr>
      </w:pPr>
      <w:r w:rsidRPr="00C27CEC">
        <w:rPr>
          <w:rFonts w:ascii="Garamond" w:hAnsi="Garamond" w:cs="Arial"/>
        </w:rPr>
        <w:t xml:space="preserve">PALACÍN, L. 2001. </w:t>
      </w:r>
      <w:r w:rsidRPr="00C27CEC">
        <w:rPr>
          <w:rFonts w:ascii="Garamond" w:hAnsi="Garamond" w:cs="Arial"/>
          <w:i/>
        </w:rPr>
        <w:t xml:space="preserve">O século do ouro em Goiás: </w:t>
      </w:r>
      <w:proofErr w:type="gramStart"/>
      <w:r w:rsidRPr="00C27CEC">
        <w:rPr>
          <w:rFonts w:ascii="Garamond" w:hAnsi="Garamond" w:cs="Arial"/>
          <w:i/>
        </w:rPr>
        <w:t>1722-1822, estrutura e conjuntura</w:t>
      </w:r>
      <w:proofErr w:type="gramEnd"/>
      <w:r w:rsidRPr="00C27CEC">
        <w:rPr>
          <w:rFonts w:ascii="Garamond" w:hAnsi="Garamond" w:cs="Arial"/>
          <w:i/>
        </w:rPr>
        <w:t xml:space="preserve"> numa capitania de Minas.</w:t>
      </w:r>
      <w:r w:rsidRPr="00C27CEC">
        <w:rPr>
          <w:rFonts w:ascii="Garamond" w:hAnsi="Garamond" w:cs="Arial"/>
        </w:rPr>
        <w:t xml:space="preserve"> </w:t>
      </w:r>
      <w:r w:rsidRPr="00A201EC">
        <w:rPr>
          <w:rFonts w:ascii="Garamond" w:hAnsi="Garamond" w:cs="Arial"/>
        </w:rPr>
        <w:t xml:space="preserve">4ª ed. Goiânia: Ed. da UCG. 1994. 1ª </w:t>
      </w:r>
      <w:proofErr w:type="spellStart"/>
      <w:r w:rsidRPr="00A201EC">
        <w:rPr>
          <w:rFonts w:ascii="Garamond" w:hAnsi="Garamond" w:cs="Arial"/>
        </w:rPr>
        <w:t>reimp</w:t>
      </w:r>
      <w:proofErr w:type="spellEnd"/>
      <w:r w:rsidRPr="00A201EC">
        <w:rPr>
          <w:rFonts w:ascii="Garamond" w:hAnsi="Garamond" w:cs="Arial"/>
        </w:rPr>
        <w:t>. 164p.</w:t>
      </w:r>
    </w:p>
    <w:p w:rsidR="00F4149D" w:rsidRPr="00F4149D" w:rsidRDefault="00F4149D" w:rsidP="00F4149D">
      <w:pPr>
        <w:pStyle w:val="Ttulo3"/>
        <w:spacing w:before="120" w:after="240" w:line="240" w:lineRule="auto"/>
        <w:ind w:firstLine="0"/>
        <w:rPr>
          <w:rFonts w:ascii="Garamond" w:hAnsi="Garamond" w:cs="Arial"/>
          <w:b w:val="0"/>
          <w:color w:val="auto"/>
          <w:szCs w:val="24"/>
        </w:rPr>
      </w:pPr>
      <w:r w:rsidRPr="00A201EC">
        <w:rPr>
          <w:rFonts w:ascii="Garamond" w:hAnsi="Garamond" w:cs="Arial"/>
          <w:b w:val="0"/>
          <w:color w:val="auto"/>
          <w:szCs w:val="24"/>
        </w:rPr>
        <w:t xml:space="preserve">SAINT-HILAIRE, A.de. 1937. </w:t>
      </w:r>
      <w:r w:rsidRPr="00F4149D">
        <w:rPr>
          <w:rFonts w:ascii="Garamond" w:hAnsi="Garamond" w:cs="Arial"/>
          <w:b w:val="0"/>
          <w:i/>
          <w:color w:val="auto"/>
          <w:szCs w:val="24"/>
        </w:rPr>
        <w:t>Viagem às nascentes do rio São Francisco e pela província de Goiás</w:t>
      </w:r>
      <w:r w:rsidRPr="00F4149D">
        <w:rPr>
          <w:rFonts w:ascii="Garamond" w:hAnsi="Garamond" w:cs="Arial"/>
          <w:b w:val="0"/>
          <w:color w:val="auto"/>
          <w:szCs w:val="24"/>
        </w:rPr>
        <w:t xml:space="preserve">. Trad. </w:t>
      </w:r>
      <w:proofErr w:type="spellStart"/>
      <w:r w:rsidRPr="00F4149D">
        <w:rPr>
          <w:rFonts w:ascii="Garamond" w:hAnsi="Garamond" w:cs="Arial"/>
          <w:b w:val="0"/>
          <w:color w:val="auto"/>
          <w:szCs w:val="24"/>
        </w:rPr>
        <w:t>Clato</w:t>
      </w:r>
      <w:proofErr w:type="spellEnd"/>
      <w:r w:rsidRPr="00F4149D">
        <w:rPr>
          <w:rFonts w:ascii="Garamond" w:hAnsi="Garamond" w:cs="Arial"/>
          <w:b w:val="0"/>
          <w:color w:val="auto"/>
          <w:szCs w:val="24"/>
        </w:rPr>
        <w:t xml:space="preserve"> Ribeiro de Lessa. São Paulo: Companhia Ed. Nacional. </w:t>
      </w:r>
      <w:proofErr w:type="spellStart"/>
      <w:r w:rsidRPr="00F4149D">
        <w:rPr>
          <w:rFonts w:ascii="Garamond" w:hAnsi="Garamond" w:cs="Arial"/>
          <w:b w:val="0"/>
          <w:color w:val="auto"/>
          <w:szCs w:val="24"/>
        </w:rPr>
        <w:t>Bibliotheca</w:t>
      </w:r>
      <w:proofErr w:type="spellEnd"/>
      <w:r w:rsidRPr="00F4149D">
        <w:rPr>
          <w:rFonts w:ascii="Garamond" w:hAnsi="Garamond" w:cs="Arial"/>
          <w:b w:val="0"/>
          <w:color w:val="auto"/>
          <w:szCs w:val="24"/>
        </w:rPr>
        <w:t xml:space="preserve"> </w:t>
      </w:r>
      <w:proofErr w:type="spellStart"/>
      <w:r w:rsidRPr="00F4149D">
        <w:rPr>
          <w:rFonts w:ascii="Garamond" w:hAnsi="Garamond" w:cs="Arial"/>
          <w:b w:val="0"/>
          <w:color w:val="auto"/>
          <w:szCs w:val="24"/>
        </w:rPr>
        <w:t>Pedagogica</w:t>
      </w:r>
      <w:proofErr w:type="spellEnd"/>
      <w:r w:rsidRPr="00F4149D">
        <w:rPr>
          <w:rFonts w:ascii="Garamond" w:hAnsi="Garamond" w:cs="Arial"/>
          <w:b w:val="0"/>
          <w:color w:val="auto"/>
          <w:szCs w:val="24"/>
        </w:rPr>
        <w:t xml:space="preserve"> Brasileira V. Brasiliana; v. 68, 78. Disponível em: &lt;http://bd.camara.gov.br/bd/handle/bdcamara/20301#&gt; Acesso em: 10/03/2017.</w:t>
      </w:r>
    </w:p>
    <w:p w:rsidR="00B3083F" w:rsidRPr="00B3083F" w:rsidRDefault="00B3083F" w:rsidP="00B3083F">
      <w:pPr>
        <w:spacing w:before="120" w:after="240" w:line="240" w:lineRule="auto"/>
        <w:rPr>
          <w:rFonts w:ascii="Garamond" w:hAnsi="Garamond" w:cs="Arial"/>
        </w:rPr>
      </w:pPr>
      <w:r w:rsidRPr="00B3083F">
        <w:rPr>
          <w:rFonts w:ascii="Garamond" w:hAnsi="Garamond" w:cs="Arial"/>
        </w:rPr>
        <w:t xml:space="preserve">TEIXEIRA NETO, A. 2006. </w:t>
      </w:r>
      <w:r w:rsidRPr="00B3083F">
        <w:rPr>
          <w:rFonts w:ascii="Garamond" w:hAnsi="Garamond" w:cs="Arial"/>
          <w:i/>
        </w:rPr>
        <w:t>Pequena história da agropecuária goiana (O ouro acabou? Viva o boi!/ O ouro se foi? Chegou o boi!).</w:t>
      </w:r>
      <w:r w:rsidRPr="00B3083F">
        <w:rPr>
          <w:rFonts w:ascii="Garamond" w:hAnsi="Garamond" w:cs="Arial"/>
        </w:rPr>
        <w:t xml:space="preserve"> Observatório Geográfico de Goiás. Disponível em &lt;</w:t>
      </w:r>
      <w:proofErr w:type="gramStart"/>
      <w:r w:rsidRPr="00B3083F">
        <w:rPr>
          <w:rFonts w:ascii="Garamond" w:hAnsi="Garamond" w:cs="Arial"/>
        </w:rPr>
        <w:t>https</w:t>
      </w:r>
      <w:proofErr w:type="gramEnd"/>
      <w:r w:rsidRPr="00B3083F">
        <w:rPr>
          <w:rFonts w:ascii="Garamond" w:hAnsi="Garamond" w:cs="Arial"/>
        </w:rPr>
        <w:t>://observatoriogeogoias.iesa.ufg.br/up/215/o/teixeira_neto_ant_nio_pequena_hist_agropecu_ria.pdf&gt; Acesso em 11/11/2015.</w:t>
      </w:r>
    </w:p>
    <w:p w:rsidR="00E83485" w:rsidRPr="00B07A76" w:rsidRDefault="00E83485" w:rsidP="0071236B">
      <w:pPr>
        <w:pStyle w:val="TextoReferncias"/>
        <w:rPr>
          <w:lang w:val="pt-BR"/>
        </w:rPr>
      </w:pPr>
    </w:p>
    <w:p w:rsidR="000F04DA" w:rsidRPr="00B3083F" w:rsidRDefault="00B3083F" w:rsidP="00710091">
      <w:pPr>
        <w:pStyle w:val="Ttulo2Lingua"/>
        <w:rPr>
          <w:color w:val="auto"/>
          <w:lang w:val="en-US"/>
        </w:rPr>
      </w:pPr>
      <w:r w:rsidRPr="00B3083F">
        <w:rPr>
          <w:rFonts w:cs="Arial"/>
          <w:color w:val="212121"/>
          <w:shd w:val="clear" w:color="auto" w:fill="FFFFFF"/>
          <w:lang w:val="en-US"/>
        </w:rPr>
        <w:t>Mining as a purpose f</w:t>
      </w:r>
      <w:r w:rsidR="00C77E7C">
        <w:rPr>
          <w:rFonts w:cs="Arial"/>
          <w:color w:val="212121"/>
          <w:shd w:val="clear" w:color="auto" w:fill="FFFFFF"/>
          <w:lang w:val="en-US"/>
        </w:rPr>
        <w:t xml:space="preserve">or the historical occupation of </w:t>
      </w:r>
      <w:proofErr w:type="spellStart"/>
      <w:r w:rsidRPr="00B3083F">
        <w:rPr>
          <w:rFonts w:cs="Arial"/>
          <w:color w:val="212121"/>
          <w:shd w:val="clear" w:color="auto" w:fill="FFFFFF"/>
          <w:lang w:val="en-US"/>
        </w:rPr>
        <w:t>Cerrado</w:t>
      </w:r>
      <w:proofErr w:type="spellEnd"/>
      <w:r w:rsidR="00C77E7C">
        <w:rPr>
          <w:rFonts w:cs="Arial"/>
          <w:color w:val="212121"/>
          <w:shd w:val="clear" w:color="auto" w:fill="FFFFFF"/>
          <w:lang w:val="en-US"/>
        </w:rPr>
        <w:t xml:space="preserve"> in </w:t>
      </w:r>
      <w:proofErr w:type="spellStart"/>
      <w:r w:rsidR="00765283">
        <w:rPr>
          <w:rFonts w:cs="Arial"/>
          <w:color w:val="212121"/>
          <w:shd w:val="clear" w:color="auto" w:fill="FFFFFF"/>
          <w:lang w:val="en-US"/>
        </w:rPr>
        <w:t>Goiás</w:t>
      </w:r>
      <w:proofErr w:type="spellEnd"/>
      <w:r w:rsidR="00765283">
        <w:rPr>
          <w:rFonts w:cs="Arial"/>
          <w:color w:val="212121"/>
          <w:shd w:val="clear" w:color="auto" w:fill="FFFFFF"/>
          <w:lang w:val="en-US"/>
        </w:rPr>
        <w:t xml:space="preserve"> S</w:t>
      </w:r>
      <w:r w:rsidR="00C77E7C">
        <w:rPr>
          <w:rFonts w:cs="Arial"/>
          <w:color w:val="212121"/>
          <w:shd w:val="clear" w:color="auto" w:fill="FFFFFF"/>
          <w:lang w:val="en-US"/>
        </w:rPr>
        <w:t>tate-Brazil</w:t>
      </w:r>
    </w:p>
    <w:p w:rsidR="00094150" w:rsidRPr="00094150" w:rsidRDefault="00094150" w:rsidP="00094150">
      <w:pPr>
        <w:pStyle w:val="ResumoTtulo"/>
        <w:rPr>
          <w:lang w:val="en-US"/>
        </w:rPr>
      </w:pPr>
    </w:p>
    <w:p w:rsidR="00094150" w:rsidRPr="00765283" w:rsidRDefault="00094150" w:rsidP="00094150">
      <w:pPr>
        <w:pStyle w:val="ResumoTtulo"/>
        <w:rPr>
          <w:lang w:val="en-US"/>
        </w:rPr>
      </w:pPr>
      <w:r w:rsidRPr="00765283">
        <w:rPr>
          <w:lang w:val="en-US"/>
        </w:rPr>
        <w:t>Abstract:</w:t>
      </w:r>
    </w:p>
    <w:p w:rsidR="00765283" w:rsidRPr="00650B22" w:rsidRDefault="00765283" w:rsidP="00650B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aramond" w:hAnsi="Garamond"/>
          <w:color w:val="212121"/>
          <w:szCs w:val="24"/>
          <w:lang w:val="en-US"/>
        </w:rPr>
      </w:pPr>
      <w:r w:rsidRPr="00A0709B">
        <w:rPr>
          <w:rFonts w:ascii="Garamond" w:eastAsia="Times New Roman" w:hAnsi="Garamond" w:cs="Courier New"/>
          <w:color w:val="212121"/>
          <w:szCs w:val="24"/>
          <w:lang w:val="en-US"/>
        </w:rPr>
        <w:t>Mining is part of the history of current occupation in</w:t>
      </w:r>
      <w:r w:rsidR="00166DF8" w:rsidRPr="00A0709B">
        <w:rPr>
          <w:rFonts w:ascii="Garamond" w:eastAsia="Times New Roman" w:hAnsi="Garamond" w:cs="Courier New"/>
          <w:color w:val="212121"/>
          <w:szCs w:val="24"/>
          <w:lang w:val="en-US"/>
        </w:rPr>
        <w:t xml:space="preserve"> </w:t>
      </w:r>
      <w:proofErr w:type="spellStart"/>
      <w:r w:rsidRPr="00A0709B">
        <w:rPr>
          <w:rFonts w:ascii="Garamond" w:eastAsia="Times New Roman" w:hAnsi="Garamond" w:cs="Courier New"/>
          <w:color w:val="212121"/>
          <w:szCs w:val="24"/>
          <w:lang w:val="en-US"/>
        </w:rPr>
        <w:t>Goiás</w:t>
      </w:r>
      <w:proofErr w:type="spellEnd"/>
      <w:r w:rsidRPr="00A0709B">
        <w:rPr>
          <w:rFonts w:ascii="Garamond" w:eastAsia="Times New Roman" w:hAnsi="Garamond" w:cs="Courier New"/>
          <w:color w:val="212121"/>
          <w:szCs w:val="24"/>
          <w:lang w:val="en-US"/>
        </w:rPr>
        <w:t xml:space="preserve"> State and the formation of the first urban networks.</w:t>
      </w:r>
      <w:r w:rsidR="00650B22" w:rsidRPr="00A0709B">
        <w:rPr>
          <w:rFonts w:ascii="Garamond" w:eastAsia="Times New Roman" w:hAnsi="Garamond" w:cs="Courier New"/>
          <w:color w:val="212121"/>
          <w:szCs w:val="24"/>
          <w:lang w:val="en-US"/>
        </w:rPr>
        <w:t xml:space="preserve"> </w:t>
      </w:r>
      <w:r w:rsidRPr="00A0709B">
        <w:rPr>
          <w:rFonts w:ascii="Garamond" w:eastAsia="Times New Roman" w:hAnsi="Garamond" w:cs="Courier New"/>
          <w:color w:val="212121"/>
          <w:szCs w:val="24"/>
          <w:lang w:val="en-US"/>
        </w:rPr>
        <w:t>Portugal had an interest in the region and, together with the need to expand its territory, sought the Eldorado.</w:t>
      </w:r>
      <w:r w:rsidR="00650B22" w:rsidRPr="00A0709B">
        <w:rPr>
          <w:rFonts w:ascii="Garamond" w:eastAsia="Times New Roman" w:hAnsi="Garamond" w:cs="Courier New"/>
          <w:color w:val="212121"/>
          <w:szCs w:val="24"/>
          <w:lang w:val="en-US"/>
        </w:rPr>
        <w:t xml:space="preserve"> </w:t>
      </w:r>
      <w:r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 xml:space="preserve">The </w:t>
      </w:r>
      <w:proofErr w:type="spellStart"/>
      <w:r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>garimpos</w:t>
      </w:r>
      <w:proofErr w:type="spellEnd"/>
      <w:r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>, scattered throughout the province, became cities which, with the decline of mineral activities in the eighteenth century, had few conditions to develop.</w:t>
      </w:r>
      <w:r w:rsidR="00650B22"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 xml:space="preserve"> </w:t>
      </w:r>
      <w:r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 xml:space="preserve">The adventurous character of the explorers and the fact that they were little interested in the occupation of space, ended up making the colony of </w:t>
      </w:r>
      <w:proofErr w:type="spellStart"/>
      <w:r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>Goiás</w:t>
      </w:r>
      <w:proofErr w:type="spellEnd"/>
      <w:r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 xml:space="preserve"> an inhospitable place during the period of decline of the mining.</w:t>
      </w:r>
      <w:r w:rsidR="00650B22"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 xml:space="preserve"> </w:t>
      </w:r>
      <w:proofErr w:type="spellStart"/>
      <w:r w:rsidRPr="00A0709B">
        <w:rPr>
          <w:rFonts w:ascii="Garamond" w:eastAsia="Times New Roman" w:hAnsi="Garamond" w:cs="Courier New"/>
          <w:color w:val="212121"/>
          <w:szCs w:val="24"/>
          <w:lang w:val="en-US"/>
        </w:rPr>
        <w:t>Goiás</w:t>
      </w:r>
      <w:proofErr w:type="spellEnd"/>
      <w:r w:rsidRPr="00A0709B">
        <w:rPr>
          <w:rFonts w:ascii="Garamond" w:eastAsia="Times New Roman" w:hAnsi="Garamond" w:cs="Courier New"/>
          <w:color w:val="212121"/>
          <w:szCs w:val="24"/>
          <w:lang w:val="en-US"/>
        </w:rPr>
        <w:t xml:space="preserve"> has today a history of more than two hundred years of mineral exploration </w:t>
      </w:r>
      <w:r w:rsidRPr="00A0709B">
        <w:rPr>
          <w:rFonts w:ascii="Garamond" w:hAnsi="Garamond"/>
          <w:color w:val="212121"/>
          <w:szCs w:val="24"/>
          <w:lang w:val="en-US"/>
        </w:rPr>
        <w:t xml:space="preserve">and as a form of occupation of the </w:t>
      </w:r>
      <w:proofErr w:type="spellStart"/>
      <w:r w:rsidRPr="00A0709B">
        <w:rPr>
          <w:rFonts w:ascii="Garamond" w:hAnsi="Garamond"/>
          <w:color w:val="212121"/>
          <w:szCs w:val="24"/>
          <w:lang w:val="en-US"/>
        </w:rPr>
        <w:t>Cerrado</w:t>
      </w:r>
      <w:proofErr w:type="spellEnd"/>
      <w:r w:rsidRPr="00A0709B">
        <w:rPr>
          <w:rFonts w:ascii="Garamond" w:hAnsi="Garamond"/>
          <w:color w:val="212121"/>
          <w:szCs w:val="24"/>
          <w:lang w:val="en-US"/>
        </w:rPr>
        <w:t xml:space="preserve"> of </w:t>
      </w:r>
      <w:proofErr w:type="spellStart"/>
      <w:r w:rsidRPr="00A0709B">
        <w:rPr>
          <w:rFonts w:ascii="Garamond" w:hAnsi="Garamond"/>
          <w:color w:val="212121"/>
          <w:szCs w:val="24"/>
          <w:lang w:val="en-US"/>
        </w:rPr>
        <w:t>Goiás</w:t>
      </w:r>
      <w:proofErr w:type="spellEnd"/>
      <w:r w:rsidRPr="00A0709B">
        <w:rPr>
          <w:rFonts w:ascii="Garamond" w:hAnsi="Garamond"/>
          <w:color w:val="212121"/>
          <w:szCs w:val="24"/>
          <w:lang w:val="en-US"/>
        </w:rPr>
        <w:t xml:space="preserve">, mining effectively </w:t>
      </w:r>
      <w:r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>made possible the consolidation of the economy by agriculture in the 20</w:t>
      </w:r>
      <w:r w:rsidRPr="00650B22">
        <w:rPr>
          <w:rFonts w:ascii="Garamond" w:hAnsi="Garamond" w:cs="Arial"/>
          <w:color w:val="212121"/>
          <w:szCs w:val="24"/>
          <w:shd w:val="clear" w:color="auto" w:fill="FFFFFF"/>
          <w:vertAlign w:val="superscript"/>
          <w:lang w:val="en-US"/>
        </w:rPr>
        <w:t>th</w:t>
      </w:r>
      <w:r w:rsidRPr="00650B22">
        <w:rPr>
          <w:rFonts w:ascii="Garamond" w:hAnsi="Garamond" w:cs="Arial"/>
          <w:color w:val="212121"/>
          <w:szCs w:val="24"/>
          <w:shd w:val="clear" w:color="auto" w:fill="FFFFFF"/>
          <w:lang w:val="en-US"/>
        </w:rPr>
        <w:t xml:space="preserve"> century.</w:t>
      </w:r>
    </w:p>
    <w:p w:rsidR="00094150" w:rsidRPr="00650B22" w:rsidRDefault="00094150" w:rsidP="00094150">
      <w:pPr>
        <w:pStyle w:val="Resumo"/>
        <w:rPr>
          <w:lang w:val="en-US"/>
        </w:rPr>
      </w:pPr>
    </w:p>
    <w:p w:rsidR="006238AD" w:rsidRPr="00B3083F" w:rsidRDefault="00094150" w:rsidP="00650B22">
      <w:pPr>
        <w:pStyle w:val="Resumo"/>
      </w:pPr>
      <w:r w:rsidRPr="007046AF">
        <w:rPr>
          <w:b/>
        </w:rPr>
        <w:t>Palavras-Chave:</w:t>
      </w:r>
      <w:r>
        <w:rPr>
          <w:b/>
        </w:rPr>
        <w:t xml:space="preserve"> Mining, Cerrado, </w:t>
      </w:r>
      <w:proofErr w:type="spellStart"/>
      <w:r>
        <w:rPr>
          <w:b/>
        </w:rPr>
        <w:t>Ocupation</w:t>
      </w:r>
      <w:proofErr w:type="spellEnd"/>
      <w:r w:rsidRPr="007046AF">
        <w:rPr>
          <w:color w:val="FF0000"/>
        </w:rPr>
        <w:t>.</w:t>
      </w:r>
    </w:p>
    <w:sectPr w:rsidR="006238AD" w:rsidRPr="00B3083F" w:rsidSect="00877708">
      <w:headerReference w:type="even" r:id="rId12"/>
      <w:headerReference w:type="default" r:id="rId13"/>
      <w:headerReference w:type="first" r:id="rId14"/>
      <w:pgSz w:w="11906" w:h="16838" w:code="9"/>
      <w:pgMar w:top="1677" w:right="1134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138B461" w15:done="0"/>
  <w15:commentEx w15:paraId="394CC228" w15:done="0"/>
  <w15:commentEx w15:paraId="50C15178" w15:done="0"/>
  <w15:commentEx w15:paraId="235F59BD" w15:done="0"/>
  <w15:commentEx w15:paraId="7B47233E" w15:done="0"/>
  <w15:commentEx w15:paraId="731FF835" w15:done="0"/>
  <w15:commentEx w15:paraId="2C81FEAB" w15:done="0"/>
  <w15:commentEx w15:paraId="1213B1E0" w15:done="0"/>
  <w15:commentEx w15:paraId="189BAA5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F5" w:rsidRDefault="00F80BF5" w:rsidP="005435E7">
      <w:pPr>
        <w:spacing w:after="0" w:line="240" w:lineRule="auto"/>
      </w:pPr>
      <w:r>
        <w:separator/>
      </w:r>
    </w:p>
  </w:endnote>
  <w:endnote w:type="continuationSeparator" w:id="0">
    <w:p w:rsidR="00F80BF5" w:rsidRDefault="00F80BF5" w:rsidP="0054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466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2"/>
    </w:tblGrid>
    <w:tr w:rsidR="000C09E4" w:rsidRPr="007A4303" w:rsidTr="000C09E4">
      <w:trPr>
        <w:jc w:val="center"/>
      </w:trPr>
      <w:tc>
        <w:tcPr>
          <w:tcW w:w="5000" w:type="pct"/>
          <w:tcBorders>
            <w:top w:val="nil"/>
            <w:bottom w:val="single" w:sz="2" w:space="0" w:color="7F7F7F" w:themeColor="text1" w:themeTint="80"/>
          </w:tcBorders>
          <w:shd w:val="clear" w:color="auto" w:fill="auto"/>
        </w:tcPr>
        <w:p w:rsidR="000C09E4" w:rsidRPr="007A4303" w:rsidRDefault="000C09E4" w:rsidP="00AB4528">
          <w:pPr>
            <w:pStyle w:val="Rodap"/>
            <w:jc w:val="center"/>
            <w:rPr>
              <w:rFonts w:cs="Arial"/>
              <w:color w:val="7F7F7F" w:themeColor="text1" w:themeTint="80"/>
              <w:szCs w:val="20"/>
              <w:lang w:val="en-US"/>
            </w:rPr>
          </w:pPr>
        </w:p>
      </w:tc>
    </w:tr>
    <w:tr w:rsidR="00CE205A" w:rsidRPr="007A4303" w:rsidTr="000C09E4">
      <w:trPr>
        <w:jc w:val="center"/>
      </w:trPr>
      <w:tc>
        <w:tcPr>
          <w:tcW w:w="5000" w:type="pct"/>
          <w:tcBorders>
            <w:top w:val="single" w:sz="2" w:space="0" w:color="7F7F7F" w:themeColor="text1" w:themeTint="80"/>
          </w:tcBorders>
          <w:shd w:val="clear" w:color="auto" w:fill="auto"/>
        </w:tcPr>
        <w:p w:rsidR="00B43AF4" w:rsidRPr="00B33D2F" w:rsidRDefault="00B43AF4" w:rsidP="00B43AF4">
          <w:pPr>
            <w:pStyle w:val="Rodap"/>
            <w:jc w:val="center"/>
            <w:rPr>
              <w:rFonts w:cs="Arial"/>
              <w:color w:val="7F7F7F" w:themeColor="text1" w:themeTint="80"/>
              <w:szCs w:val="20"/>
            </w:rPr>
          </w:pPr>
        </w:p>
        <w:p w:rsidR="00CE205A" w:rsidRPr="007A4303" w:rsidRDefault="00780449" w:rsidP="00B43AF4">
          <w:pPr>
            <w:pStyle w:val="Rodap"/>
            <w:jc w:val="center"/>
            <w:rPr>
              <w:rFonts w:cs="Arial"/>
              <w:color w:val="411805"/>
              <w:szCs w:val="20"/>
              <w:lang w:val="en-US"/>
            </w:rPr>
          </w:pPr>
          <w:r w:rsidRPr="007A4303">
            <w:rPr>
              <w:rFonts w:cs="Arial"/>
              <w:color w:val="7F7F7F" w:themeColor="text1" w:themeTint="80"/>
              <w:szCs w:val="20"/>
              <w:lang w:val="en-US"/>
            </w:rPr>
            <w:fldChar w:fldCharType="begin"/>
          </w:r>
          <w:r w:rsidR="00B43AF4" w:rsidRPr="00B33D2F">
            <w:rPr>
              <w:rFonts w:cs="Arial"/>
              <w:color w:val="7F7F7F" w:themeColor="text1" w:themeTint="80"/>
              <w:szCs w:val="20"/>
            </w:rPr>
            <w:instrText>PAGE   \* MERGEFORMAT</w:instrText>
          </w:r>
          <w:r w:rsidRPr="007A4303">
            <w:rPr>
              <w:rFonts w:cs="Arial"/>
              <w:color w:val="7F7F7F" w:themeColor="text1" w:themeTint="80"/>
              <w:szCs w:val="20"/>
              <w:lang w:val="en-US"/>
            </w:rPr>
            <w:fldChar w:fldCharType="separate"/>
          </w:r>
          <w:r w:rsidR="00341F75">
            <w:rPr>
              <w:rFonts w:cs="Arial"/>
              <w:noProof/>
              <w:color w:val="7F7F7F" w:themeColor="text1" w:themeTint="80"/>
              <w:szCs w:val="20"/>
            </w:rPr>
            <w:t>1</w:t>
          </w:r>
          <w:r w:rsidRPr="007A4303">
            <w:rPr>
              <w:rFonts w:cs="Arial"/>
              <w:color w:val="7F7F7F" w:themeColor="text1" w:themeTint="80"/>
              <w:szCs w:val="20"/>
              <w:lang w:val="en-US"/>
            </w:rPr>
            <w:fldChar w:fldCharType="end"/>
          </w:r>
        </w:p>
      </w:tc>
    </w:tr>
  </w:tbl>
  <w:p w:rsidR="00E0694B" w:rsidRPr="007A4303" w:rsidRDefault="00E0694B" w:rsidP="00CE205A">
    <w:pPr>
      <w:pStyle w:val="Rodap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F5" w:rsidRDefault="00F80BF5" w:rsidP="005435E7">
      <w:pPr>
        <w:spacing w:after="0" w:line="240" w:lineRule="auto"/>
      </w:pPr>
      <w:r>
        <w:separator/>
      </w:r>
    </w:p>
  </w:footnote>
  <w:footnote w:type="continuationSeparator" w:id="0">
    <w:p w:rsidR="00F80BF5" w:rsidRDefault="00F80BF5" w:rsidP="005435E7">
      <w:pPr>
        <w:spacing w:after="0" w:line="240" w:lineRule="auto"/>
      </w:pPr>
      <w:r>
        <w:continuationSeparator/>
      </w:r>
    </w:p>
  </w:footnote>
  <w:footnote w:id="1">
    <w:p w:rsidR="00E0694B" w:rsidRPr="007046AF" w:rsidRDefault="00E0694B" w:rsidP="001F286F">
      <w:pPr>
        <w:pStyle w:val="Rodap"/>
      </w:pPr>
      <w:r w:rsidRPr="002730E8">
        <w:rPr>
          <w:rStyle w:val="Refdenotaderodap"/>
        </w:rPr>
        <w:footnoteRef/>
      </w:r>
      <w:r w:rsidR="002730E8" w:rsidRPr="001F286F">
        <w:t xml:space="preserve"> </w:t>
      </w:r>
      <w:r w:rsidR="007046AF">
        <w:t>Doutora</w:t>
      </w:r>
      <w:r w:rsidR="001F286F" w:rsidRPr="001F286F">
        <w:t xml:space="preserve"> </w:t>
      </w:r>
      <w:r w:rsidR="007046AF">
        <w:t>em Geografia (UFG</w:t>
      </w:r>
      <w:r w:rsidR="001F286F" w:rsidRPr="001F286F">
        <w:t xml:space="preserve">, </w:t>
      </w:r>
      <w:r w:rsidR="007046AF">
        <w:t>Brasil</w:t>
      </w:r>
      <w:r w:rsidR="001F286F" w:rsidRPr="001F286F">
        <w:t xml:space="preserve">). </w:t>
      </w:r>
      <w:r w:rsidR="007046AF">
        <w:t>UFG/Brasil. luciana_tibirica@ufg.br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94B" w:rsidRDefault="00341F75" w:rsidP="002921A3">
    <w:pPr>
      <w:pStyle w:val="Ttulo-Original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7" type="#_x0000_t202" style="position:absolute;left:0;text-align:left;margin-left:125.55pt;margin-top:-.2pt;width:361.5pt;height:126pt;z-index:2516582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" stroked="f">
          <v:textbox>
            <w:txbxContent>
              <w:p w:rsidR="00E0694B" w:rsidRPr="00640871" w:rsidRDefault="00E0694B" w:rsidP="00640871">
                <w:pPr>
                  <w:pStyle w:val="Ttulo-Original"/>
                </w:pPr>
              </w:p>
              <w:p w:rsidR="007046AF" w:rsidRDefault="007046AF" w:rsidP="007046AF">
                <w:pPr>
                  <w:spacing w:after="0"/>
                  <w:jc w:val="right"/>
                  <w:rPr>
                    <w:rFonts w:ascii="Bookman Old Style" w:hAnsi="Bookman Old Style" w:cstheme="minorHAnsi"/>
                    <w:sz w:val="32"/>
                    <w:szCs w:val="32"/>
                  </w:rPr>
                </w:pPr>
                <w:r w:rsidRPr="007046AF">
                  <w:rPr>
                    <w:rFonts w:ascii="Bookman Old Style" w:hAnsi="Bookman Old Style" w:cstheme="minorHAnsi"/>
                    <w:sz w:val="32"/>
                    <w:szCs w:val="32"/>
                  </w:rPr>
                  <w:t xml:space="preserve">A MINERAÇÃO COMO OBJETO PARA </w:t>
                </w:r>
              </w:p>
              <w:p w:rsidR="007046AF" w:rsidRDefault="007046AF" w:rsidP="007046AF">
                <w:pPr>
                  <w:spacing w:after="0"/>
                  <w:jc w:val="right"/>
                  <w:rPr>
                    <w:rFonts w:ascii="Bookman Old Style" w:hAnsi="Bookman Old Style" w:cstheme="minorHAnsi"/>
                    <w:sz w:val="32"/>
                    <w:szCs w:val="32"/>
                  </w:rPr>
                </w:pPr>
                <w:r w:rsidRPr="007046AF">
                  <w:rPr>
                    <w:rFonts w:ascii="Bookman Old Style" w:hAnsi="Bookman Old Style" w:cstheme="minorHAnsi"/>
                    <w:sz w:val="32"/>
                    <w:szCs w:val="32"/>
                  </w:rPr>
                  <w:t xml:space="preserve">A OCUPAÇÃO HISTÓRICA DO </w:t>
                </w:r>
              </w:p>
              <w:p w:rsidR="007046AF" w:rsidRPr="007046AF" w:rsidRDefault="007046AF" w:rsidP="007046AF">
                <w:pPr>
                  <w:spacing w:after="0"/>
                  <w:jc w:val="right"/>
                  <w:rPr>
                    <w:rFonts w:ascii="Bookman Old Style" w:hAnsi="Bookman Old Style" w:cstheme="minorHAnsi"/>
                    <w:sz w:val="32"/>
                    <w:szCs w:val="32"/>
                  </w:rPr>
                </w:pPr>
                <w:r w:rsidRPr="007046AF">
                  <w:rPr>
                    <w:rFonts w:ascii="Bookman Old Style" w:hAnsi="Bookman Old Style" w:cstheme="minorHAnsi"/>
                    <w:sz w:val="32"/>
                    <w:szCs w:val="32"/>
                  </w:rPr>
                  <w:t>CERRADO GOIANO</w:t>
                </w:r>
              </w:p>
              <w:p w:rsidR="00E0694B" w:rsidRPr="007046AF" w:rsidRDefault="00E0694B" w:rsidP="007046AF">
                <w:pPr>
                  <w:pStyle w:val="Ttulo-Original"/>
                </w:pPr>
              </w:p>
            </w:txbxContent>
          </v:textbox>
          <w10:wrap type="square"/>
        </v:shape>
      </w:pict>
    </w:r>
    <w:r w:rsidR="008B5ADF">
      <w:rPr>
        <w:rFonts w:ascii="Times New Roman" w:eastAsia="Times New Roman" w:hAnsi="Times New Roman" w:cs="Times New Roman"/>
        <w:noProof/>
        <w:szCs w:val="32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margin">
            <wp:posOffset>-710565</wp:posOffset>
          </wp:positionH>
          <wp:positionV relativeFrom="margin">
            <wp:posOffset>-2129155</wp:posOffset>
          </wp:positionV>
          <wp:extent cx="2195830" cy="2026285"/>
          <wp:effectExtent l="0" t="0" r="0" b="0"/>
          <wp:wrapTight wrapText="bothSides">
            <wp:wrapPolygon edited="0">
              <wp:start x="6371" y="0"/>
              <wp:lineTo x="3373" y="1218"/>
              <wp:lineTo x="1874" y="2234"/>
              <wp:lineTo x="1874" y="3249"/>
              <wp:lineTo x="187" y="6498"/>
              <wp:lineTo x="0" y="8123"/>
              <wp:lineTo x="0" y="15027"/>
              <wp:lineTo x="2061" y="16246"/>
              <wp:lineTo x="1687" y="17464"/>
              <wp:lineTo x="2436" y="19089"/>
              <wp:lineTo x="4310" y="19495"/>
              <wp:lineTo x="4310" y="20307"/>
              <wp:lineTo x="7870" y="21322"/>
              <wp:lineTo x="10494" y="21322"/>
              <wp:lineTo x="18552" y="21322"/>
              <wp:lineTo x="18927" y="19495"/>
              <wp:lineTo x="19864" y="16246"/>
              <wp:lineTo x="21363" y="15230"/>
              <wp:lineTo x="21363" y="9544"/>
              <wp:lineTo x="20426" y="4264"/>
              <wp:lineTo x="20238" y="2640"/>
              <wp:lineTo x="15928" y="1625"/>
              <wp:lineTo x="7870" y="0"/>
              <wp:lineTo x="6371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yocar_glabrum.pn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5830" cy="202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0694B" w:rsidRPr="00C94627" w:rsidRDefault="00E0694B" w:rsidP="002921A3">
    <w:pPr>
      <w:pStyle w:val="Ttulo-Original"/>
      <w:rPr>
        <w:lang w:val="es-ES_tradnl"/>
      </w:rPr>
    </w:pPr>
  </w:p>
  <w:p w:rsidR="00E0694B" w:rsidRDefault="00E0694B" w:rsidP="002921A3">
    <w:pPr>
      <w:pStyle w:val="Ttulo-Original"/>
    </w:pPr>
  </w:p>
  <w:p w:rsidR="00E0694B" w:rsidRDefault="00E0694B" w:rsidP="002921A3">
    <w:pPr>
      <w:pStyle w:val="Ttulo-Original"/>
    </w:pPr>
  </w:p>
  <w:p w:rsidR="00E0694B" w:rsidRDefault="00E0694B" w:rsidP="002921A3">
    <w:pPr>
      <w:pStyle w:val="Ttulo-Original"/>
    </w:pPr>
  </w:p>
  <w:p w:rsidR="00E0694B" w:rsidRDefault="00E0694B" w:rsidP="002921A3">
    <w:pPr>
      <w:pStyle w:val="Ttulo-Original"/>
    </w:pPr>
  </w:p>
  <w:p w:rsidR="00E0694B" w:rsidRPr="002921A3" w:rsidRDefault="00E0694B" w:rsidP="002921A3">
    <w:pPr>
      <w:pStyle w:val="Ttulo-Origin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D2F" w:rsidRDefault="00B33D2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94B" w:rsidRPr="00CE4B71" w:rsidRDefault="0064205A" w:rsidP="0066669F">
    <w:pPr>
      <w:pStyle w:val="TituloCorpoTexto"/>
      <w:rPr>
        <w:color w:val="7F7F7F" w:themeColor="text1" w:themeTint="80"/>
      </w:rPr>
    </w:pPr>
    <w:r>
      <w:rPr>
        <w:color w:val="7F7F7F" w:themeColor="text1" w:themeTint="80"/>
      </w:rPr>
      <w:t>A mineração como objeto para a ocupação histórica do Cerrado goiano</w:t>
    </w:r>
  </w:p>
  <w:p w:rsidR="00E0694B" w:rsidRPr="00CE4B71" w:rsidRDefault="00E0694B" w:rsidP="00286A9E">
    <w:pPr>
      <w:pStyle w:val="TituloCorpoTexto"/>
      <w:rPr>
        <w:color w:val="7F7F7F" w:themeColor="text1" w:themeTint="80"/>
      </w:rPr>
    </w:pPr>
  </w:p>
  <w:p w:rsidR="00E0694B" w:rsidRPr="00E07607" w:rsidRDefault="0064205A" w:rsidP="000F04DA">
    <w:pPr>
      <w:pStyle w:val="TituloCorpoTexto"/>
      <w:rPr>
        <w:color w:val="7F7F7F" w:themeColor="text1" w:themeTint="80"/>
      </w:rPr>
    </w:pPr>
    <w:r>
      <w:rPr>
        <w:color w:val="7F7F7F" w:themeColor="text1" w:themeTint="80"/>
      </w:rPr>
      <w:t>Luciana Gonçalves Tibiriçá</w:t>
    </w:r>
  </w:p>
  <w:p w:rsidR="00E0694B" w:rsidRPr="00B318F2" w:rsidRDefault="00E0694B" w:rsidP="00286A9E">
    <w:pPr>
      <w:pStyle w:val="TituloCorpoTex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D2F" w:rsidRDefault="00B33D2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27653"/>
    <w:multiLevelType w:val="hybridMultilevel"/>
    <w:tmpl w:val="D9EE1A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24614"/>
    <w:multiLevelType w:val="hybridMultilevel"/>
    <w:tmpl w:val="81B451C4"/>
    <w:lvl w:ilvl="0" w:tplc="52E0CA1C">
      <w:start w:val="1"/>
      <w:numFmt w:val="decimal"/>
      <w:pStyle w:val="TextoTtulo3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01C41"/>
    <w:multiLevelType w:val="hybridMultilevel"/>
    <w:tmpl w:val="544EAB5A"/>
    <w:lvl w:ilvl="0" w:tplc="46D26DBA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DCA41E82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D0B8E2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67FE0C10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458449A0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71A3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A520483E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CD745768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9C0272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9417DA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4A3FDD"/>
    <w:multiLevelType w:val="hybridMultilevel"/>
    <w:tmpl w:val="7C52DC1E"/>
    <w:lvl w:ilvl="0" w:tplc="11460DE4">
      <w:start w:val="1"/>
      <w:numFmt w:val="lowerRoman"/>
      <w:pStyle w:val="TextoNumeracao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51" w:hanging="360"/>
      </w:pPr>
    </w:lvl>
    <w:lvl w:ilvl="2" w:tplc="0416001B" w:tentative="1">
      <w:start w:val="1"/>
      <w:numFmt w:val="lowerRoman"/>
      <w:lvlText w:val="%3."/>
      <w:lvlJc w:val="right"/>
      <w:pPr>
        <w:ind w:left="3371" w:hanging="180"/>
      </w:pPr>
    </w:lvl>
    <w:lvl w:ilvl="3" w:tplc="0416000F" w:tentative="1">
      <w:start w:val="1"/>
      <w:numFmt w:val="decimal"/>
      <w:lvlText w:val="%4."/>
      <w:lvlJc w:val="left"/>
      <w:pPr>
        <w:ind w:left="4091" w:hanging="360"/>
      </w:pPr>
    </w:lvl>
    <w:lvl w:ilvl="4" w:tplc="04160019" w:tentative="1">
      <w:start w:val="1"/>
      <w:numFmt w:val="lowerLetter"/>
      <w:lvlText w:val="%5."/>
      <w:lvlJc w:val="left"/>
      <w:pPr>
        <w:ind w:left="4811" w:hanging="360"/>
      </w:pPr>
    </w:lvl>
    <w:lvl w:ilvl="5" w:tplc="0416001B" w:tentative="1">
      <w:start w:val="1"/>
      <w:numFmt w:val="lowerRoman"/>
      <w:lvlText w:val="%6."/>
      <w:lvlJc w:val="right"/>
      <w:pPr>
        <w:ind w:left="5531" w:hanging="180"/>
      </w:pPr>
    </w:lvl>
    <w:lvl w:ilvl="6" w:tplc="0416000F" w:tentative="1">
      <w:start w:val="1"/>
      <w:numFmt w:val="decimal"/>
      <w:lvlText w:val="%7."/>
      <w:lvlJc w:val="left"/>
      <w:pPr>
        <w:ind w:left="6251" w:hanging="360"/>
      </w:pPr>
    </w:lvl>
    <w:lvl w:ilvl="7" w:tplc="04160019" w:tentative="1">
      <w:start w:val="1"/>
      <w:numFmt w:val="lowerLetter"/>
      <w:lvlText w:val="%8."/>
      <w:lvlJc w:val="left"/>
      <w:pPr>
        <w:ind w:left="6971" w:hanging="360"/>
      </w:pPr>
    </w:lvl>
    <w:lvl w:ilvl="8" w:tplc="0416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>
    <w:nsid w:val="5ED4396D"/>
    <w:multiLevelType w:val="hybridMultilevel"/>
    <w:tmpl w:val="6E0AE108"/>
    <w:lvl w:ilvl="0" w:tplc="E794DE5A">
      <w:start w:val="1"/>
      <w:numFmt w:val="bullet"/>
      <w:pStyle w:val="TextoTopico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D0A626A"/>
    <w:multiLevelType w:val="hybridMultilevel"/>
    <w:tmpl w:val="3BE632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C6AB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4BA4F83"/>
    <w:multiLevelType w:val="hybridMultilevel"/>
    <w:tmpl w:val="5AE474BE"/>
    <w:lvl w:ilvl="0" w:tplc="9AE852F4">
      <w:start w:val="1"/>
      <w:numFmt w:val="decimal"/>
      <w:lvlText w:val="%1."/>
      <w:lvlJc w:val="left"/>
      <w:pPr>
        <w:ind w:left="4330" w:hanging="360"/>
      </w:pPr>
    </w:lvl>
    <w:lvl w:ilvl="1" w:tplc="04160019">
      <w:start w:val="1"/>
      <w:numFmt w:val="lowerLetter"/>
      <w:lvlText w:val="%2."/>
      <w:lvlJc w:val="left"/>
      <w:pPr>
        <w:ind w:left="5050" w:hanging="360"/>
      </w:pPr>
    </w:lvl>
    <w:lvl w:ilvl="2" w:tplc="0416001B" w:tentative="1">
      <w:start w:val="1"/>
      <w:numFmt w:val="lowerRoman"/>
      <w:lvlText w:val="%3."/>
      <w:lvlJc w:val="right"/>
      <w:pPr>
        <w:ind w:left="5770" w:hanging="180"/>
      </w:pPr>
    </w:lvl>
    <w:lvl w:ilvl="3" w:tplc="0416000F" w:tentative="1">
      <w:start w:val="1"/>
      <w:numFmt w:val="decimal"/>
      <w:lvlText w:val="%4."/>
      <w:lvlJc w:val="left"/>
      <w:pPr>
        <w:ind w:left="6490" w:hanging="360"/>
      </w:pPr>
    </w:lvl>
    <w:lvl w:ilvl="4" w:tplc="04160019" w:tentative="1">
      <w:start w:val="1"/>
      <w:numFmt w:val="lowerLetter"/>
      <w:lvlText w:val="%5."/>
      <w:lvlJc w:val="left"/>
      <w:pPr>
        <w:ind w:left="7210" w:hanging="360"/>
      </w:pPr>
    </w:lvl>
    <w:lvl w:ilvl="5" w:tplc="0416001B" w:tentative="1">
      <w:start w:val="1"/>
      <w:numFmt w:val="lowerRoman"/>
      <w:lvlText w:val="%6."/>
      <w:lvlJc w:val="right"/>
      <w:pPr>
        <w:ind w:left="7930" w:hanging="180"/>
      </w:pPr>
    </w:lvl>
    <w:lvl w:ilvl="6" w:tplc="0416000F" w:tentative="1">
      <w:start w:val="1"/>
      <w:numFmt w:val="decimal"/>
      <w:lvlText w:val="%7."/>
      <w:lvlJc w:val="left"/>
      <w:pPr>
        <w:ind w:left="8650" w:hanging="360"/>
      </w:pPr>
    </w:lvl>
    <w:lvl w:ilvl="7" w:tplc="04160019" w:tentative="1">
      <w:start w:val="1"/>
      <w:numFmt w:val="lowerLetter"/>
      <w:lvlText w:val="%8."/>
      <w:lvlJc w:val="left"/>
      <w:pPr>
        <w:ind w:left="9370" w:hanging="360"/>
      </w:pPr>
    </w:lvl>
    <w:lvl w:ilvl="8" w:tplc="0416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9">
    <w:nsid w:val="7900466E"/>
    <w:multiLevelType w:val="multilevel"/>
    <w:tmpl w:val="7940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9"/>
  </w:num>
  <w:num w:numId="6">
    <w:abstractNumId w:val="0"/>
  </w:num>
  <w:num w:numId="7">
    <w:abstractNumId w:val="6"/>
  </w:num>
  <w:num w:numId="8">
    <w:abstractNumId w:val="4"/>
    <w:lvlOverride w:ilvl="0">
      <w:startOverride w:val="1"/>
    </w:lvlOverride>
  </w:num>
  <w:num w:numId="9">
    <w:abstractNumId w:val="7"/>
  </w:num>
  <w:num w:numId="10">
    <w:abstractNumId w:val="3"/>
  </w:num>
  <w:num w:numId="11">
    <w:abstractNumId w:val="2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atasha Sophie Pereira">
    <w15:presenceInfo w15:providerId="Windows Live" w15:userId="7a415a031345e7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NTQ1sbQ0MjQxtTA2MbZQ0lEKTi0uzszPAykwrAUAtl7zEiwAAAA="/>
  </w:docVars>
  <w:rsids>
    <w:rsidRoot w:val="00CF4FC3"/>
    <w:rsid w:val="00012DFB"/>
    <w:rsid w:val="000149E1"/>
    <w:rsid w:val="0002146B"/>
    <w:rsid w:val="00026248"/>
    <w:rsid w:val="00040C01"/>
    <w:rsid w:val="000513F1"/>
    <w:rsid w:val="00051537"/>
    <w:rsid w:val="00052644"/>
    <w:rsid w:val="000571D8"/>
    <w:rsid w:val="000612C5"/>
    <w:rsid w:val="00061832"/>
    <w:rsid w:val="00073180"/>
    <w:rsid w:val="00076558"/>
    <w:rsid w:val="00094150"/>
    <w:rsid w:val="000A3D2A"/>
    <w:rsid w:val="000A5CCD"/>
    <w:rsid w:val="000B031C"/>
    <w:rsid w:val="000C09E4"/>
    <w:rsid w:val="000D07F1"/>
    <w:rsid w:val="000D17DE"/>
    <w:rsid w:val="000E7F06"/>
    <w:rsid w:val="000F04DA"/>
    <w:rsid w:val="00116F1B"/>
    <w:rsid w:val="001632DD"/>
    <w:rsid w:val="00166DF8"/>
    <w:rsid w:val="00176DE5"/>
    <w:rsid w:val="00177D88"/>
    <w:rsid w:val="001D2973"/>
    <w:rsid w:val="001D4E48"/>
    <w:rsid w:val="001E223D"/>
    <w:rsid w:val="001E290E"/>
    <w:rsid w:val="001E46BE"/>
    <w:rsid w:val="001F286F"/>
    <w:rsid w:val="00240405"/>
    <w:rsid w:val="002407E2"/>
    <w:rsid w:val="002468A4"/>
    <w:rsid w:val="0025240C"/>
    <w:rsid w:val="00260171"/>
    <w:rsid w:val="00267716"/>
    <w:rsid w:val="0027100A"/>
    <w:rsid w:val="002730E8"/>
    <w:rsid w:val="002775AB"/>
    <w:rsid w:val="00283B25"/>
    <w:rsid w:val="002854B6"/>
    <w:rsid w:val="00286A9E"/>
    <w:rsid w:val="00290246"/>
    <w:rsid w:val="002921A3"/>
    <w:rsid w:val="002947E9"/>
    <w:rsid w:val="00295C7B"/>
    <w:rsid w:val="00295FCC"/>
    <w:rsid w:val="003073C4"/>
    <w:rsid w:val="00311AA3"/>
    <w:rsid w:val="00341F75"/>
    <w:rsid w:val="00357784"/>
    <w:rsid w:val="003700D1"/>
    <w:rsid w:val="00373250"/>
    <w:rsid w:val="00386403"/>
    <w:rsid w:val="00391464"/>
    <w:rsid w:val="003A3A7B"/>
    <w:rsid w:val="003B0DB9"/>
    <w:rsid w:val="003B31C0"/>
    <w:rsid w:val="003B7ED3"/>
    <w:rsid w:val="003C5E40"/>
    <w:rsid w:val="003E06C9"/>
    <w:rsid w:val="003F6B81"/>
    <w:rsid w:val="004223E7"/>
    <w:rsid w:val="00427273"/>
    <w:rsid w:val="00430841"/>
    <w:rsid w:val="00431526"/>
    <w:rsid w:val="0043361E"/>
    <w:rsid w:val="004757E0"/>
    <w:rsid w:val="004B2A8C"/>
    <w:rsid w:val="00514802"/>
    <w:rsid w:val="00526B8E"/>
    <w:rsid w:val="00530FF4"/>
    <w:rsid w:val="00532554"/>
    <w:rsid w:val="00536BB6"/>
    <w:rsid w:val="005435E7"/>
    <w:rsid w:val="00557B0D"/>
    <w:rsid w:val="00566D45"/>
    <w:rsid w:val="005737AE"/>
    <w:rsid w:val="00575B6D"/>
    <w:rsid w:val="005A4358"/>
    <w:rsid w:val="005B0542"/>
    <w:rsid w:val="005B7ED8"/>
    <w:rsid w:val="005E7042"/>
    <w:rsid w:val="006238AD"/>
    <w:rsid w:val="00623BCC"/>
    <w:rsid w:val="00627798"/>
    <w:rsid w:val="00640871"/>
    <w:rsid w:val="0064205A"/>
    <w:rsid w:val="00650B22"/>
    <w:rsid w:val="00657417"/>
    <w:rsid w:val="006634AE"/>
    <w:rsid w:val="00665299"/>
    <w:rsid w:val="0066669F"/>
    <w:rsid w:val="006B5738"/>
    <w:rsid w:val="006B784F"/>
    <w:rsid w:val="006D118F"/>
    <w:rsid w:val="006F00FF"/>
    <w:rsid w:val="007046AF"/>
    <w:rsid w:val="0070566E"/>
    <w:rsid w:val="00710091"/>
    <w:rsid w:val="0071236B"/>
    <w:rsid w:val="007228B0"/>
    <w:rsid w:val="0075124D"/>
    <w:rsid w:val="007615BE"/>
    <w:rsid w:val="007621C7"/>
    <w:rsid w:val="00765283"/>
    <w:rsid w:val="007662AF"/>
    <w:rsid w:val="007677BF"/>
    <w:rsid w:val="00771E22"/>
    <w:rsid w:val="00780449"/>
    <w:rsid w:val="00780C94"/>
    <w:rsid w:val="00781105"/>
    <w:rsid w:val="00790774"/>
    <w:rsid w:val="007A4303"/>
    <w:rsid w:val="007C09C4"/>
    <w:rsid w:val="007E1D87"/>
    <w:rsid w:val="007E4148"/>
    <w:rsid w:val="007F35CA"/>
    <w:rsid w:val="00815012"/>
    <w:rsid w:val="0081573C"/>
    <w:rsid w:val="00817B7E"/>
    <w:rsid w:val="00836FB0"/>
    <w:rsid w:val="00851FE2"/>
    <w:rsid w:val="00853E08"/>
    <w:rsid w:val="00862EBE"/>
    <w:rsid w:val="00867435"/>
    <w:rsid w:val="00870819"/>
    <w:rsid w:val="00875C19"/>
    <w:rsid w:val="00877708"/>
    <w:rsid w:val="0089160B"/>
    <w:rsid w:val="008B5ADF"/>
    <w:rsid w:val="008D246E"/>
    <w:rsid w:val="008D4C62"/>
    <w:rsid w:val="008D7CC0"/>
    <w:rsid w:val="008F2DB8"/>
    <w:rsid w:val="008F761D"/>
    <w:rsid w:val="0092437A"/>
    <w:rsid w:val="009279FE"/>
    <w:rsid w:val="00964BEC"/>
    <w:rsid w:val="009728E9"/>
    <w:rsid w:val="009826A0"/>
    <w:rsid w:val="009B6CA5"/>
    <w:rsid w:val="009C57AB"/>
    <w:rsid w:val="009F03F3"/>
    <w:rsid w:val="00A05937"/>
    <w:rsid w:val="00A0709B"/>
    <w:rsid w:val="00A201EC"/>
    <w:rsid w:val="00A233AF"/>
    <w:rsid w:val="00A256FA"/>
    <w:rsid w:val="00A43DBD"/>
    <w:rsid w:val="00A46413"/>
    <w:rsid w:val="00A56BE9"/>
    <w:rsid w:val="00A70275"/>
    <w:rsid w:val="00A80C3E"/>
    <w:rsid w:val="00A80D6A"/>
    <w:rsid w:val="00A849F0"/>
    <w:rsid w:val="00AF08A5"/>
    <w:rsid w:val="00AF1C6C"/>
    <w:rsid w:val="00AF7C75"/>
    <w:rsid w:val="00B07A76"/>
    <w:rsid w:val="00B14E9A"/>
    <w:rsid w:val="00B3083F"/>
    <w:rsid w:val="00B318F2"/>
    <w:rsid w:val="00B33D2F"/>
    <w:rsid w:val="00B37EBA"/>
    <w:rsid w:val="00B403E4"/>
    <w:rsid w:val="00B40B64"/>
    <w:rsid w:val="00B43AF4"/>
    <w:rsid w:val="00B57821"/>
    <w:rsid w:val="00B836B8"/>
    <w:rsid w:val="00B95EB5"/>
    <w:rsid w:val="00BB0809"/>
    <w:rsid w:val="00BC7579"/>
    <w:rsid w:val="00BE6B60"/>
    <w:rsid w:val="00C14FB4"/>
    <w:rsid w:val="00C27CEC"/>
    <w:rsid w:val="00C31216"/>
    <w:rsid w:val="00C31D69"/>
    <w:rsid w:val="00C37B92"/>
    <w:rsid w:val="00C408D3"/>
    <w:rsid w:val="00C61E84"/>
    <w:rsid w:val="00C77E7C"/>
    <w:rsid w:val="00C809AE"/>
    <w:rsid w:val="00C94627"/>
    <w:rsid w:val="00C94715"/>
    <w:rsid w:val="00CB3970"/>
    <w:rsid w:val="00CB7242"/>
    <w:rsid w:val="00CC7350"/>
    <w:rsid w:val="00CD1EA5"/>
    <w:rsid w:val="00CD52E5"/>
    <w:rsid w:val="00CE205A"/>
    <w:rsid w:val="00CE4B71"/>
    <w:rsid w:val="00CE5C7F"/>
    <w:rsid w:val="00CF4FC3"/>
    <w:rsid w:val="00CF7154"/>
    <w:rsid w:val="00D040DB"/>
    <w:rsid w:val="00D05B4C"/>
    <w:rsid w:val="00D10F42"/>
    <w:rsid w:val="00D42C18"/>
    <w:rsid w:val="00D525CB"/>
    <w:rsid w:val="00D602FA"/>
    <w:rsid w:val="00D60A96"/>
    <w:rsid w:val="00D638CD"/>
    <w:rsid w:val="00D64DB8"/>
    <w:rsid w:val="00D6520E"/>
    <w:rsid w:val="00D67619"/>
    <w:rsid w:val="00D67A9D"/>
    <w:rsid w:val="00DA18A9"/>
    <w:rsid w:val="00DA7702"/>
    <w:rsid w:val="00DC4480"/>
    <w:rsid w:val="00DD4408"/>
    <w:rsid w:val="00DE34D5"/>
    <w:rsid w:val="00DE6D82"/>
    <w:rsid w:val="00DF33A9"/>
    <w:rsid w:val="00E033DC"/>
    <w:rsid w:val="00E0694B"/>
    <w:rsid w:val="00E07607"/>
    <w:rsid w:val="00E158DF"/>
    <w:rsid w:val="00E25F59"/>
    <w:rsid w:val="00E30FF6"/>
    <w:rsid w:val="00E433BF"/>
    <w:rsid w:val="00E44208"/>
    <w:rsid w:val="00E46F06"/>
    <w:rsid w:val="00E50696"/>
    <w:rsid w:val="00E624FA"/>
    <w:rsid w:val="00E81D78"/>
    <w:rsid w:val="00E83485"/>
    <w:rsid w:val="00E94BF2"/>
    <w:rsid w:val="00EA28DD"/>
    <w:rsid w:val="00EC73BD"/>
    <w:rsid w:val="00EF5792"/>
    <w:rsid w:val="00EF7F3C"/>
    <w:rsid w:val="00F3570E"/>
    <w:rsid w:val="00F4149D"/>
    <w:rsid w:val="00F44F2E"/>
    <w:rsid w:val="00F537C6"/>
    <w:rsid w:val="00F57E73"/>
    <w:rsid w:val="00F62AE7"/>
    <w:rsid w:val="00F65CC3"/>
    <w:rsid w:val="00F71C50"/>
    <w:rsid w:val="00F72811"/>
    <w:rsid w:val="00F74DEE"/>
    <w:rsid w:val="00F80BF5"/>
    <w:rsid w:val="00F85CC0"/>
    <w:rsid w:val="00F8693D"/>
    <w:rsid w:val="00FC06CD"/>
    <w:rsid w:val="00FE04CC"/>
    <w:rsid w:val="00FE16BB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uiPriority="0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arágrafo"/>
    <w:qFormat/>
    <w:rsid w:val="007046AF"/>
    <w:pPr>
      <w:spacing w:after="120" w:line="360" w:lineRule="auto"/>
      <w:jc w:val="both"/>
    </w:pPr>
    <w:rPr>
      <w:rFonts w:ascii="Arial" w:eastAsiaTheme="minorEastAsia" w:hAnsi="Arial"/>
      <w:sz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318F2"/>
    <w:pPr>
      <w:keepNext/>
      <w:keepLines/>
      <w:tabs>
        <w:tab w:val="left" w:pos="3402"/>
      </w:tabs>
      <w:spacing w:after="0" w:line="240" w:lineRule="auto"/>
      <w:ind w:left="3402"/>
      <w:jc w:val="right"/>
      <w:outlineLvl w:val="0"/>
    </w:pPr>
    <w:rPr>
      <w:rFonts w:ascii="Lucida Fax" w:eastAsiaTheme="majorEastAsia" w:hAnsi="Lucida Fax" w:cstheme="majorBidi"/>
      <w:b/>
      <w:bCs/>
      <w:smallCaps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28DD"/>
    <w:pPr>
      <w:keepNext/>
      <w:keepLines/>
      <w:spacing w:after="240"/>
      <w:outlineLvl w:val="1"/>
    </w:pPr>
    <w:rPr>
      <w:rFonts w:eastAsiaTheme="majorEastAsia" w:cstheme="majorBidi"/>
      <w:b/>
      <w:bCs/>
      <w:i/>
      <w:color w:val="000000" w:themeColor="text1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28DD"/>
    <w:pPr>
      <w:keepNext/>
      <w:keepLines/>
      <w:spacing w:before="200" w:after="0"/>
      <w:ind w:firstLine="709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5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4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35E7"/>
  </w:style>
  <w:style w:type="paragraph" w:styleId="Rodap">
    <w:name w:val="footer"/>
    <w:aliases w:val="Texto_Rodapé"/>
    <w:basedOn w:val="Normal"/>
    <w:link w:val="RodapChar"/>
    <w:unhideWhenUsed/>
    <w:rsid w:val="005E7042"/>
    <w:pPr>
      <w:tabs>
        <w:tab w:val="center" w:pos="4252"/>
        <w:tab w:val="right" w:pos="8504"/>
      </w:tabs>
      <w:spacing w:after="0" w:line="240" w:lineRule="auto"/>
    </w:pPr>
    <w:rPr>
      <w:rFonts w:ascii="Garamond" w:hAnsi="Garamond"/>
      <w:sz w:val="20"/>
    </w:rPr>
  </w:style>
  <w:style w:type="character" w:customStyle="1" w:styleId="RodapChar">
    <w:name w:val="Rodapé Char"/>
    <w:aliases w:val="Texto_Rodapé Char"/>
    <w:basedOn w:val="Fontepargpadro"/>
    <w:link w:val="Rodap"/>
    <w:rsid w:val="005E7042"/>
    <w:rPr>
      <w:rFonts w:ascii="Garamond" w:hAnsi="Garamond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B318F2"/>
    <w:rPr>
      <w:rFonts w:ascii="Lucida Fax" w:eastAsiaTheme="majorEastAsia" w:hAnsi="Lucida Fax" w:cstheme="majorBidi"/>
      <w:b/>
      <w:bCs/>
      <w:smallCaps/>
      <w:sz w:val="36"/>
      <w:szCs w:val="28"/>
    </w:rPr>
  </w:style>
  <w:style w:type="paragraph" w:customStyle="1" w:styleId="Ttulo-Original">
    <w:name w:val="Título - Original"/>
    <w:basedOn w:val="Ttulo1"/>
    <w:next w:val="Normal"/>
    <w:qFormat/>
    <w:rsid w:val="002921A3"/>
    <w:pPr>
      <w:ind w:left="0"/>
    </w:pPr>
    <w:rPr>
      <w:rFonts w:ascii="Bookman Old Style" w:hAnsi="Bookman Old Style"/>
      <w:b w:val="0"/>
      <w:smallCaps w:val="0"/>
      <w:color w:val="262626" w:themeColor="text1" w:themeTint="D9"/>
      <w:sz w:val="32"/>
    </w:rPr>
  </w:style>
  <w:style w:type="paragraph" w:customStyle="1" w:styleId="Ttulo2Lingua">
    <w:name w:val="Título_2Lingua"/>
    <w:basedOn w:val="Ttulo-Original"/>
    <w:next w:val="Normal"/>
    <w:qFormat/>
    <w:rsid w:val="006238AD"/>
    <w:pPr>
      <w:spacing w:before="120"/>
      <w:jc w:val="center"/>
    </w:pPr>
    <w:rPr>
      <w:color w:val="404040" w:themeColor="text1" w:themeTint="BF"/>
      <w:sz w:val="28"/>
    </w:rPr>
  </w:style>
  <w:style w:type="paragraph" w:customStyle="1" w:styleId="Autor">
    <w:name w:val="Autor"/>
    <w:basedOn w:val="Normal"/>
    <w:next w:val="Normal"/>
    <w:qFormat/>
    <w:rsid w:val="00290246"/>
    <w:pPr>
      <w:spacing w:after="0" w:line="240" w:lineRule="auto"/>
      <w:jc w:val="right"/>
    </w:pPr>
    <w:rPr>
      <w:rFonts w:ascii="Bookman Old Style" w:hAnsi="Bookman Old Style"/>
      <w:sz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7F35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F35CA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F35CA"/>
    <w:rPr>
      <w:vertAlign w:val="superscript"/>
    </w:rPr>
  </w:style>
  <w:style w:type="paragraph" w:customStyle="1" w:styleId="Resumo">
    <w:name w:val="Resumo"/>
    <w:basedOn w:val="Normal"/>
    <w:qFormat/>
    <w:rsid w:val="007E4148"/>
    <w:rPr>
      <w:rFonts w:ascii="Garamond" w:hAnsi="Garamond"/>
    </w:rPr>
  </w:style>
  <w:style w:type="paragraph" w:customStyle="1" w:styleId="ResumoTtulo">
    <w:name w:val="Resumo_Título"/>
    <w:basedOn w:val="Resumo"/>
    <w:next w:val="Resumo"/>
    <w:qFormat/>
    <w:rsid w:val="00E94BF2"/>
    <w:rPr>
      <w:b/>
      <w:smallCaps/>
    </w:rPr>
  </w:style>
  <w:style w:type="paragraph" w:customStyle="1" w:styleId="Texto">
    <w:name w:val="Texto"/>
    <w:basedOn w:val="Normal"/>
    <w:qFormat/>
    <w:rsid w:val="00E94BF2"/>
    <w:pPr>
      <w:ind w:firstLine="851"/>
    </w:pPr>
    <w:rPr>
      <w:rFonts w:ascii="Garamond" w:hAnsi="Garamond"/>
    </w:rPr>
  </w:style>
  <w:style w:type="paragraph" w:customStyle="1" w:styleId="Texto1Paragrafo">
    <w:name w:val="Texto_1Paragrafo"/>
    <w:basedOn w:val="Texto"/>
    <w:next w:val="Texto"/>
    <w:qFormat/>
    <w:rsid w:val="00E94BF2"/>
    <w:pPr>
      <w:ind w:firstLine="0"/>
    </w:pPr>
  </w:style>
  <w:style w:type="paragraph" w:customStyle="1" w:styleId="TituloCorpoTexto">
    <w:name w:val="Titulo_CorpoTexto"/>
    <w:basedOn w:val="Ttulo-Original"/>
    <w:qFormat/>
    <w:rsid w:val="00286A9E"/>
    <w:pPr>
      <w:jc w:val="center"/>
    </w:pPr>
    <w:rPr>
      <w:sz w:val="20"/>
    </w:rPr>
  </w:style>
  <w:style w:type="paragraph" w:customStyle="1" w:styleId="TextoTopicos">
    <w:name w:val="Texto_Topicos"/>
    <w:basedOn w:val="Texto"/>
    <w:next w:val="Texto"/>
    <w:qFormat/>
    <w:rsid w:val="0092437A"/>
    <w:pPr>
      <w:numPr>
        <w:numId w:val="1"/>
      </w:numPr>
      <w:contextualSpacing/>
    </w:pPr>
    <w:rPr>
      <w:lang w:val="es-ES_tradnl"/>
    </w:rPr>
  </w:style>
  <w:style w:type="paragraph" w:customStyle="1" w:styleId="TextoNumeracao">
    <w:name w:val="Texto_Numeracao"/>
    <w:basedOn w:val="TextoTopicos"/>
    <w:next w:val="Texto"/>
    <w:autoRedefine/>
    <w:qFormat/>
    <w:rsid w:val="0075124D"/>
    <w:pPr>
      <w:numPr>
        <w:numId w:val="2"/>
      </w:numPr>
    </w:pPr>
  </w:style>
  <w:style w:type="paragraph" w:customStyle="1" w:styleId="TextoTitulo1">
    <w:name w:val="Texto_Titulo1"/>
    <w:basedOn w:val="Ttulo-Original"/>
    <w:next w:val="Texto"/>
    <w:qFormat/>
    <w:rsid w:val="00851FE2"/>
    <w:pPr>
      <w:spacing w:before="240" w:after="120"/>
      <w:jc w:val="both"/>
    </w:pPr>
    <w:rPr>
      <w:b/>
      <w:smallCaps/>
      <w:sz w:val="24"/>
      <w:lang w:val="es-ES_tradnl"/>
    </w:rPr>
  </w:style>
  <w:style w:type="character" w:styleId="Hyperlink">
    <w:name w:val="Hyperlink"/>
    <w:basedOn w:val="Fontepargpadro"/>
    <w:uiPriority w:val="99"/>
    <w:unhideWhenUsed/>
    <w:rsid w:val="00530FF4"/>
    <w:rPr>
      <w:color w:val="0000FF" w:themeColor="hyperlink"/>
      <w:u w:val="single"/>
    </w:rPr>
  </w:style>
  <w:style w:type="paragraph" w:customStyle="1" w:styleId="TextoTitulo2">
    <w:name w:val="Texto_Titulo2"/>
    <w:basedOn w:val="TextoTitulo1"/>
    <w:next w:val="Texto"/>
    <w:qFormat/>
    <w:rsid w:val="00061832"/>
  </w:style>
  <w:style w:type="paragraph" w:customStyle="1" w:styleId="Figura">
    <w:name w:val="Figura"/>
    <w:basedOn w:val="Texto"/>
    <w:next w:val="Texto"/>
    <w:qFormat/>
    <w:rsid w:val="007621C7"/>
    <w:pPr>
      <w:spacing w:line="240" w:lineRule="auto"/>
      <w:ind w:firstLine="0"/>
      <w:jc w:val="left"/>
    </w:pPr>
    <w:rPr>
      <w:sz w:val="20"/>
      <w:lang w:val="es-ES_tradnl"/>
    </w:rPr>
  </w:style>
  <w:style w:type="table" w:styleId="Tabelacomgrade">
    <w:name w:val="Table Grid"/>
    <w:basedOn w:val="Tabelanormal"/>
    <w:uiPriority w:val="39"/>
    <w:rsid w:val="00762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aTitulo">
    <w:name w:val="Figura_Titulo"/>
    <w:basedOn w:val="Texto1Paragrafo"/>
    <w:next w:val="Figura"/>
    <w:qFormat/>
    <w:rsid w:val="007621C7"/>
    <w:pPr>
      <w:spacing w:line="240" w:lineRule="auto"/>
      <w:jc w:val="center"/>
    </w:pPr>
    <w:rPr>
      <w:b/>
    </w:rPr>
  </w:style>
  <w:style w:type="paragraph" w:customStyle="1" w:styleId="FiguraImagem">
    <w:name w:val="Figura_Imagem"/>
    <w:basedOn w:val="FiguraTitulo"/>
    <w:qFormat/>
    <w:rsid w:val="007621C7"/>
    <w:pPr>
      <w:spacing w:after="0"/>
    </w:pPr>
    <w:rPr>
      <w:rFonts w:ascii="Times New Roman" w:eastAsia="Arial Unicode MS" w:hAnsi="Times New Roman" w:cs="Times New Roman"/>
      <w:b w:val="0"/>
      <w:noProof/>
      <w:kern w:val="3"/>
    </w:rPr>
  </w:style>
  <w:style w:type="paragraph" w:customStyle="1" w:styleId="FiguraFonte">
    <w:name w:val="Figura_Fonte"/>
    <w:basedOn w:val="FiguraTitulo"/>
    <w:next w:val="Figura"/>
    <w:qFormat/>
    <w:rsid w:val="003E06C9"/>
    <w:pPr>
      <w:spacing w:after="240"/>
      <w:jc w:val="both"/>
    </w:pPr>
    <w:rPr>
      <w:b w:val="0"/>
      <w:sz w:val="20"/>
    </w:rPr>
  </w:style>
  <w:style w:type="paragraph" w:customStyle="1" w:styleId="TextoTtulo3">
    <w:name w:val="Texto_Título3"/>
    <w:basedOn w:val="TextoTitulo2"/>
    <w:next w:val="Texto"/>
    <w:qFormat/>
    <w:rsid w:val="00FE16BB"/>
    <w:pPr>
      <w:numPr>
        <w:numId w:val="4"/>
      </w:numPr>
    </w:pPr>
    <w:rPr>
      <w:b w:val="0"/>
      <w:i/>
    </w:rPr>
  </w:style>
  <w:style w:type="paragraph" w:styleId="PargrafodaLista">
    <w:name w:val="List Paragraph"/>
    <w:basedOn w:val="Normal"/>
    <w:uiPriority w:val="34"/>
    <w:qFormat/>
    <w:rsid w:val="00A70275"/>
    <w:pPr>
      <w:ind w:left="720"/>
      <w:contextualSpacing/>
    </w:pPr>
  </w:style>
  <w:style w:type="paragraph" w:customStyle="1" w:styleId="TextoTtulo4">
    <w:name w:val="Texto_Título4"/>
    <w:basedOn w:val="TextoTtulo3"/>
    <w:next w:val="Texto"/>
    <w:qFormat/>
    <w:rsid w:val="00C37B92"/>
    <w:pPr>
      <w:numPr>
        <w:numId w:val="0"/>
      </w:numPr>
    </w:pPr>
    <w:rPr>
      <w:rFonts w:ascii="Times New Roman" w:hAnsi="Times New Roman" w:cs="Times New Roman"/>
      <w:b/>
    </w:rPr>
  </w:style>
  <w:style w:type="paragraph" w:customStyle="1" w:styleId="FiguraTabela">
    <w:name w:val="Figura_Tabela"/>
    <w:basedOn w:val="Normal"/>
    <w:qFormat/>
    <w:rsid w:val="00DA18A9"/>
    <w:pPr>
      <w:widowControl w:val="0"/>
      <w:tabs>
        <w:tab w:val="center" w:pos="4252"/>
        <w:tab w:val="right" w:pos="8504"/>
      </w:tabs>
      <w:suppressAutoHyphens/>
      <w:autoSpaceDE w:val="0"/>
      <w:autoSpaceDN w:val="0"/>
      <w:spacing w:after="0" w:line="240" w:lineRule="auto"/>
      <w:textAlignment w:val="baseline"/>
    </w:pPr>
    <w:rPr>
      <w:rFonts w:ascii="Garamond" w:eastAsia="Arial Unicode MS" w:hAnsi="Garamond" w:cs="Times New Roman"/>
      <w:kern w:val="3"/>
      <w:lang w:val="es-ES_tradnl" w:eastAsia="zh-CN"/>
    </w:rPr>
  </w:style>
  <w:style w:type="table" w:customStyle="1" w:styleId="ListaMdia11">
    <w:name w:val="Lista Média 11"/>
    <w:basedOn w:val="Tabelanormal"/>
    <w:uiPriority w:val="65"/>
    <w:rsid w:val="00DA18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aMdia21">
    <w:name w:val="Lista Média 21"/>
    <w:basedOn w:val="Tabelanormal"/>
    <w:uiPriority w:val="66"/>
    <w:rsid w:val="00DA18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adeMdia21">
    <w:name w:val="Grade Média 21"/>
    <w:basedOn w:val="Tabelanormal"/>
    <w:uiPriority w:val="68"/>
    <w:rsid w:val="00DA18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SombreamentoClaro1">
    <w:name w:val="Sombreamento Claro1"/>
    <w:basedOn w:val="Tabelanormal"/>
    <w:uiPriority w:val="60"/>
    <w:rsid w:val="00DA18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oCitacao">
    <w:name w:val="Texto_Citacao"/>
    <w:basedOn w:val="Texto"/>
    <w:next w:val="Texto"/>
    <w:qFormat/>
    <w:rsid w:val="00853E08"/>
    <w:pPr>
      <w:spacing w:after="240" w:line="240" w:lineRule="auto"/>
      <w:ind w:left="2268" w:firstLine="0"/>
    </w:pPr>
    <w:rPr>
      <w:sz w:val="20"/>
      <w:lang w:val="es-ES_tradnl"/>
    </w:rPr>
  </w:style>
  <w:style w:type="paragraph" w:customStyle="1" w:styleId="TextoReferncias">
    <w:name w:val="Texto_Referências"/>
    <w:basedOn w:val="Texto1Paragrafo"/>
    <w:qFormat/>
    <w:rsid w:val="00267716"/>
    <w:pPr>
      <w:spacing w:after="240" w:line="240" w:lineRule="auto"/>
    </w:pPr>
    <w:rPr>
      <w:lang w:val="es-ES_tradnl"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77708"/>
    <w:pPr>
      <w:ind w:left="283" w:firstLine="709"/>
    </w:pPr>
    <w:rPr>
      <w:rFonts w:eastAsia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77708"/>
    <w:rPr>
      <w:rFonts w:ascii="Arial" w:eastAsia="Times New Roman" w:hAnsi="Arial" w:cs="Times New Roman"/>
      <w:sz w:val="16"/>
      <w:szCs w:val="16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rsid w:val="00877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7770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semiHidden/>
    <w:rsid w:val="00877708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8777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77708"/>
    <w:pPr>
      <w:spacing w:after="0" w:line="240" w:lineRule="auto"/>
      <w:ind w:firstLine="709"/>
    </w:pPr>
    <w:rPr>
      <w:rFonts w:eastAsia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77708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hps">
    <w:name w:val="hps"/>
    <w:basedOn w:val="Fontepargpadro"/>
    <w:rsid w:val="00557B0D"/>
  </w:style>
  <w:style w:type="character" w:customStyle="1" w:styleId="longtext">
    <w:name w:val="long_text"/>
    <w:basedOn w:val="Fontepargpadro"/>
    <w:rsid w:val="00557B0D"/>
  </w:style>
  <w:style w:type="character" w:customStyle="1" w:styleId="Ttulo2Char">
    <w:name w:val="Título 2 Char"/>
    <w:basedOn w:val="Fontepargpadro"/>
    <w:link w:val="Ttulo2"/>
    <w:uiPriority w:val="9"/>
    <w:rsid w:val="00EA28DD"/>
    <w:rPr>
      <w:rFonts w:ascii="Arial" w:eastAsiaTheme="majorEastAsia" w:hAnsi="Arial" w:cstheme="majorBidi"/>
      <w:b/>
      <w:bCs/>
      <w:i/>
      <w:color w:val="000000" w:themeColor="text1"/>
      <w:sz w:val="28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28D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EA28DD"/>
    <w:pPr>
      <w:tabs>
        <w:tab w:val="right" w:pos="8640"/>
      </w:tabs>
      <w:spacing w:after="0"/>
      <w:ind w:firstLine="703"/>
    </w:pPr>
    <w:rPr>
      <w:rFonts w:ascii="Garamond" w:eastAsia="Times New Roman" w:hAnsi="Garamond" w:cs="Times New Roman"/>
      <w:spacing w:val="-2"/>
      <w:szCs w:val="20"/>
    </w:rPr>
  </w:style>
  <w:style w:type="character" w:customStyle="1" w:styleId="CorpodetextoChar">
    <w:name w:val="Corpo de texto Char"/>
    <w:basedOn w:val="Fontepargpadro"/>
    <w:link w:val="Corpodetexto"/>
    <w:rsid w:val="00EA28DD"/>
    <w:rPr>
      <w:rFonts w:ascii="Garamond" w:eastAsia="Times New Roman" w:hAnsi="Garamond" w:cs="Times New Roman"/>
      <w:spacing w:val="-2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A28DD"/>
    <w:rPr>
      <w:i/>
      <w:iCs/>
    </w:rPr>
  </w:style>
  <w:style w:type="paragraph" w:styleId="NormalWeb">
    <w:name w:val="Normal (Web)"/>
    <w:basedOn w:val="Normal"/>
    <w:unhideWhenUsed/>
    <w:rsid w:val="00EA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pple-converted-space">
    <w:name w:val="apple-converted-space"/>
    <w:basedOn w:val="Fontepargpadro"/>
    <w:rsid w:val="00EA28DD"/>
  </w:style>
  <w:style w:type="paragraph" w:customStyle="1" w:styleId="Estilo1">
    <w:name w:val="Estilo1"/>
    <w:basedOn w:val="Normal"/>
    <w:rsid w:val="00EA28DD"/>
    <w:pPr>
      <w:spacing w:after="0"/>
      <w:ind w:left="567" w:firstLine="709"/>
    </w:pPr>
    <w:rPr>
      <w:rFonts w:ascii="Times New Roman" w:eastAsia="Times New Roman" w:hAnsi="Times New Roman" w:cs="Times New Roman"/>
      <w:szCs w:val="20"/>
    </w:rPr>
  </w:style>
  <w:style w:type="paragraph" w:customStyle="1" w:styleId="EstiloJustificadoPrimeiralinha125cmEspaamentoentrelinh">
    <w:name w:val="Estilo Justificado Primeira linha:  125 cm Espaçamento entre linh..."/>
    <w:basedOn w:val="Normal"/>
    <w:link w:val="EstiloJustificadoPrimeiralinha125cmEspaamentoentrelinhChar"/>
    <w:rsid w:val="00EA28DD"/>
    <w:pPr>
      <w:spacing w:after="0"/>
      <w:ind w:firstLine="709"/>
    </w:pPr>
    <w:rPr>
      <w:rFonts w:ascii="Times New Roman" w:eastAsia="Times New Roman" w:hAnsi="Times New Roman" w:cs="Times New Roman"/>
      <w:szCs w:val="20"/>
    </w:rPr>
  </w:style>
  <w:style w:type="character" w:customStyle="1" w:styleId="EstiloJustificadoPrimeiralinha125cmEspaamentoentrelinhChar">
    <w:name w:val="Estilo Justificado Primeira linha:  125 cm Espaçamento entre linh... Char"/>
    <w:basedOn w:val="Fontepargpadro"/>
    <w:link w:val="EstiloJustificadoPrimeiralinha125cmEspaamentoentrelinh"/>
    <w:rsid w:val="00EA28D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rsid w:val="00EA2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A28D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EA28DD"/>
    <w:pPr>
      <w:tabs>
        <w:tab w:val="clear" w:pos="3402"/>
      </w:tabs>
      <w:spacing w:before="480" w:line="276" w:lineRule="auto"/>
      <w:ind w:left="0"/>
      <w:jc w:val="left"/>
      <w:outlineLvl w:val="9"/>
    </w:pPr>
    <w:rPr>
      <w:rFonts w:asciiTheme="majorHAnsi" w:hAnsiTheme="majorHAnsi"/>
      <w:smallCaps w:val="0"/>
      <w:color w:val="365F91" w:themeColor="accent1" w:themeShade="BF"/>
      <w:sz w:val="28"/>
    </w:rPr>
  </w:style>
  <w:style w:type="paragraph" w:styleId="Sumrio1">
    <w:name w:val="toc 1"/>
    <w:basedOn w:val="Normal"/>
    <w:next w:val="Normal"/>
    <w:autoRedefine/>
    <w:uiPriority w:val="39"/>
    <w:unhideWhenUsed/>
    <w:rsid w:val="00EA28DD"/>
    <w:pPr>
      <w:spacing w:before="120"/>
      <w:ind w:firstLine="709"/>
    </w:pPr>
    <w:rPr>
      <w:rFonts w:eastAsia="Times New Roman" w:cs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EA28DD"/>
    <w:pPr>
      <w:spacing w:after="0"/>
      <w:ind w:left="240" w:firstLine="709"/>
    </w:pPr>
    <w:rPr>
      <w:rFonts w:eastAsia="Times New Roman" w:cs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EA28DD"/>
    <w:pPr>
      <w:spacing w:after="0"/>
      <w:ind w:left="480" w:firstLine="709"/>
    </w:pPr>
    <w:rPr>
      <w:rFonts w:eastAsia="Times New Roman" w:cs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EA28DD"/>
    <w:pPr>
      <w:spacing w:after="0"/>
      <w:ind w:left="720" w:firstLine="709"/>
    </w:pPr>
    <w:rPr>
      <w:rFonts w:eastAsia="Times New Roman"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EA28DD"/>
    <w:pPr>
      <w:spacing w:after="0"/>
      <w:ind w:left="960" w:firstLine="709"/>
    </w:pPr>
    <w:rPr>
      <w:rFonts w:eastAsia="Times New Roman"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EA28DD"/>
    <w:pPr>
      <w:spacing w:after="0"/>
      <w:ind w:left="1200" w:firstLine="709"/>
    </w:pPr>
    <w:rPr>
      <w:rFonts w:eastAsia="Times New Roman"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EA28DD"/>
    <w:pPr>
      <w:spacing w:after="0"/>
      <w:ind w:left="1440" w:firstLine="709"/>
    </w:pPr>
    <w:rPr>
      <w:rFonts w:eastAsia="Times New Roman"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EA28DD"/>
    <w:pPr>
      <w:spacing w:after="0"/>
      <w:ind w:left="1680" w:firstLine="709"/>
    </w:pPr>
    <w:rPr>
      <w:rFonts w:eastAsia="Times New Roman"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EA28DD"/>
    <w:pPr>
      <w:spacing w:after="0"/>
      <w:ind w:left="1920" w:firstLine="709"/>
    </w:pPr>
    <w:rPr>
      <w:rFonts w:eastAsia="Times New Roman" w:cstheme="minorHAnsi"/>
      <w:sz w:val="18"/>
      <w:szCs w:val="18"/>
    </w:rPr>
  </w:style>
  <w:style w:type="paragraph" w:customStyle="1" w:styleId="EstiloEstiloJustificadoPrimeiralinha125cmEspaamentoentre">
    <w:name w:val="Estilo Estilo Justificado Primeira linha:  125 cm Espaçamento entre ..."/>
    <w:basedOn w:val="Normal"/>
    <w:rsid w:val="00EA28DD"/>
    <w:pPr>
      <w:spacing w:after="0" w:line="480" w:lineRule="auto"/>
      <w:ind w:firstLine="851"/>
    </w:pPr>
    <w:rPr>
      <w:rFonts w:eastAsia="Times New Roman" w:cs="Times New Roman"/>
    </w:rPr>
  </w:style>
  <w:style w:type="character" w:customStyle="1" w:styleId="st">
    <w:name w:val="st"/>
    <w:basedOn w:val="Fontepargpadro"/>
    <w:rsid w:val="00EA28D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8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8DD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Lista">
    <w:name w:val="List"/>
    <w:basedOn w:val="Normal"/>
    <w:uiPriority w:val="99"/>
    <w:semiHidden/>
    <w:unhideWhenUsed/>
    <w:rsid w:val="00EA28DD"/>
    <w:pPr>
      <w:spacing w:after="0"/>
      <w:ind w:left="283" w:hanging="283"/>
      <w:contextualSpacing/>
    </w:pPr>
    <w:rPr>
      <w:rFonts w:eastAsia="Times New Roman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28DD"/>
    <w:pPr>
      <w:ind w:left="283" w:firstLine="709"/>
    </w:pPr>
    <w:rPr>
      <w:rFonts w:eastAsia="Times New Roman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28DD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ecxmsonormal">
    <w:name w:val="ecxmsonormal"/>
    <w:basedOn w:val="Normal"/>
    <w:rsid w:val="00EA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customStyle="1" w:styleId="TabeladeGrade21">
    <w:name w:val="Tabela de Grade 21"/>
    <w:basedOn w:val="Tabelanormal"/>
    <w:uiPriority w:val="47"/>
    <w:rsid w:val="000A5C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0F04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4E9A"/>
    <w:pPr>
      <w:pBdr>
        <w:bottom w:val="single" w:sz="4" w:space="4" w:color="4F81BD" w:themeColor="accent1"/>
      </w:pBdr>
      <w:spacing w:after="0" w:line="240" w:lineRule="auto"/>
      <w:ind w:left="2268"/>
    </w:pPr>
    <w:rPr>
      <w:bCs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4E9A"/>
    <w:rPr>
      <w:rFonts w:ascii="Arial" w:hAnsi="Arial"/>
      <w:bCs/>
      <w:iCs/>
    </w:rPr>
  </w:style>
  <w:style w:type="table" w:customStyle="1" w:styleId="GradeClara1">
    <w:name w:val="Grade Clara1"/>
    <w:basedOn w:val="Tabelanormal"/>
    <w:uiPriority w:val="62"/>
    <w:rsid w:val="00780C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Forte">
    <w:name w:val="Strong"/>
    <w:basedOn w:val="Fontepargpadro"/>
    <w:uiPriority w:val="22"/>
    <w:qFormat/>
    <w:rsid w:val="00D64DB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295C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uiPriority="0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6C9"/>
  </w:style>
  <w:style w:type="paragraph" w:styleId="Ttulo1">
    <w:name w:val="heading 1"/>
    <w:basedOn w:val="Normal"/>
    <w:next w:val="Normal"/>
    <w:link w:val="Ttulo1Char"/>
    <w:uiPriority w:val="9"/>
    <w:qFormat/>
    <w:rsid w:val="00B318F2"/>
    <w:pPr>
      <w:keepNext/>
      <w:keepLines/>
      <w:tabs>
        <w:tab w:val="left" w:pos="3402"/>
      </w:tabs>
      <w:spacing w:after="0" w:line="240" w:lineRule="auto"/>
      <w:ind w:left="3402"/>
      <w:jc w:val="right"/>
      <w:outlineLvl w:val="0"/>
    </w:pPr>
    <w:rPr>
      <w:rFonts w:ascii="Lucida Fax" w:eastAsiaTheme="majorEastAsia" w:hAnsi="Lucida Fax" w:cstheme="majorBidi"/>
      <w:b/>
      <w:bCs/>
      <w:smallCaps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A28DD"/>
    <w:pPr>
      <w:keepNext/>
      <w:keepLines/>
      <w:spacing w:after="240" w:line="360" w:lineRule="auto"/>
      <w:jc w:val="both"/>
      <w:outlineLvl w:val="1"/>
    </w:pPr>
    <w:rPr>
      <w:rFonts w:ascii="Arial" w:eastAsiaTheme="majorEastAsia" w:hAnsi="Arial" w:cstheme="majorBidi"/>
      <w:b/>
      <w:bCs/>
      <w:i/>
      <w:color w:val="000000" w:themeColor="text1"/>
      <w:sz w:val="28"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A28DD"/>
    <w:pPr>
      <w:keepNext/>
      <w:keepLines/>
      <w:spacing w:before="200" w:after="0" w:line="36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5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435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435E7"/>
  </w:style>
  <w:style w:type="paragraph" w:styleId="Rodap">
    <w:name w:val="footer"/>
    <w:aliases w:val="Texto_Rodapé"/>
    <w:basedOn w:val="Normal"/>
    <w:link w:val="RodapChar"/>
    <w:unhideWhenUsed/>
    <w:rsid w:val="005E7042"/>
    <w:pPr>
      <w:tabs>
        <w:tab w:val="center" w:pos="4252"/>
        <w:tab w:val="right" w:pos="8504"/>
      </w:tabs>
      <w:spacing w:after="0" w:line="240" w:lineRule="auto"/>
      <w:jc w:val="both"/>
    </w:pPr>
    <w:rPr>
      <w:rFonts w:ascii="Garamond" w:hAnsi="Garamond"/>
      <w:sz w:val="20"/>
    </w:rPr>
  </w:style>
  <w:style w:type="character" w:customStyle="1" w:styleId="RodapChar">
    <w:name w:val="Rodapé Char"/>
    <w:aliases w:val="Texto_Rodapé Char"/>
    <w:basedOn w:val="Fontepargpadro"/>
    <w:link w:val="Rodap"/>
    <w:rsid w:val="005E7042"/>
    <w:rPr>
      <w:rFonts w:ascii="Garamond" w:hAnsi="Garamond"/>
      <w:sz w:val="20"/>
    </w:rPr>
  </w:style>
  <w:style w:type="character" w:customStyle="1" w:styleId="Ttulo1Char">
    <w:name w:val="Título 1 Char"/>
    <w:basedOn w:val="Fontepargpadro"/>
    <w:link w:val="Ttulo1"/>
    <w:uiPriority w:val="9"/>
    <w:rsid w:val="00B318F2"/>
    <w:rPr>
      <w:rFonts w:ascii="Lucida Fax" w:eastAsiaTheme="majorEastAsia" w:hAnsi="Lucida Fax" w:cstheme="majorBidi"/>
      <w:b/>
      <w:bCs/>
      <w:smallCaps/>
      <w:sz w:val="36"/>
      <w:szCs w:val="28"/>
    </w:rPr>
  </w:style>
  <w:style w:type="paragraph" w:customStyle="1" w:styleId="Ttulo-Original">
    <w:name w:val="Título - Original"/>
    <w:basedOn w:val="Ttulo1"/>
    <w:next w:val="Normal"/>
    <w:qFormat/>
    <w:rsid w:val="002921A3"/>
    <w:pPr>
      <w:ind w:left="0"/>
    </w:pPr>
    <w:rPr>
      <w:rFonts w:ascii="Bookman Old Style" w:hAnsi="Bookman Old Style"/>
      <w:b w:val="0"/>
      <w:smallCaps w:val="0"/>
      <w:color w:val="262626" w:themeColor="text1" w:themeTint="D9"/>
      <w:sz w:val="32"/>
    </w:rPr>
  </w:style>
  <w:style w:type="paragraph" w:customStyle="1" w:styleId="Ttulo2Lingua">
    <w:name w:val="Título_2Lingua"/>
    <w:basedOn w:val="Ttulo-Original"/>
    <w:next w:val="Normal"/>
    <w:qFormat/>
    <w:rsid w:val="006238AD"/>
    <w:pPr>
      <w:spacing w:before="120"/>
      <w:jc w:val="center"/>
    </w:pPr>
    <w:rPr>
      <w:color w:val="404040" w:themeColor="text1" w:themeTint="BF"/>
      <w:sz w:val="28"/>
    </w:rPr>
  </w:style>
  <w:style w:type="paragraph" w:customStyle="1" w:styleId="Autor">
    <w:name w:val="Autor"/>
    <w:basedOn w:val="Normal"/>
    <w:next w:val="Normal"/>
    <w:qFormat/>
    <w:rsid w:val="00290246"/>
    <w:pPr>
      <w:spacing w:after="0" w:line="240" w:lineRule="auto"/>
      <w:jc w:val="right"/>
    </w:pPr>
    <w:rPr>
      <w:rFonts w:ascii="Bookman Old Style" w:hAnsi="Bookman Old Style"/>
      <w:sz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7F35C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F35CA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7F35CA"/>
    <w:rPr>
      <w:vertAlign w:val="superscript"/>
    </w:rPr>
  </w:style>
  <w:style w:type="paragraph" w:customStyle="1" w:styleId="Resumo">
    <w:name w:val="Resumo"/>
    <w:basedOn w:val="Normal"/>
    <w:qFormat/>
    <w:rsid w:val="007E4148"/>
    <w:pPr>
      <w:spacing w:after="120" w:line="360" w:lineRule="auto"/>
      <w:jc w:val="both"/>
    </w:pPr>
    <w:rPr>
      <w:rFonts w:ascii="Garamond" w:hAnsi="Garamond"/>
      <w:sz w:val="24"/>
    </w:rPr>
  </w:style>
  <w:style w:type="paragraph" w:customStyle="1" w:styleId="ResumoTtulo">
    <w:name w:val="Resumo_Título"/>
    <w:basedOn w:val="Resumo"/>
    <w:next w:val="Resumo"/>
    <w:qFormat/>
    <w:rsid w:val="00E94BF2"/>
    <w:rPr>
      <w:b/>
      <w:smallCaps/>
    </w:rPr>
  </w:style>
  <w:style w:type="paragraph" w:customStyle="1" w:styleId="Texto">
    <w:name w:val="Texto"/>
    <w:basedOn w:val="Normal"/>
    <w:qFormat/>
    <w:rsid w:val="00E94BF2"/>
    <w:pPr>
      <w:spacing w:after="120" w:line="360" w:lineRule="auto"/>
      <w:ind w:firstLine="851"/>
      <w:jc w:val="both"/>
    </w:pPr>
    <w:rPr>
      <w:rFonts w:ascii="Garamond" w:hAnsi="Garamond"/>
      <w:sz w:val="24"/>
    </w:rPr>
  </w:style>
  <w:style w:type="paragraph" w:customStyle="1" w:styleId="Texto1Paragrafo">
    <w:name w:val="Texto_1Paragrafo"/>
    <w:basedOn w:val="Texto"/>
    <w:next w:val="Texto"/>
    <w:qFormat/>
    <w:rsid w:val="00E94BF2"/>
    <w:pPr>
      <w:ind w:firstLine="0"/>
    </w:pPr>
  </w:style>
  <w:style w:type="paragraph" w:customStyle="1" w:styleId="TituloCorpoTexto">
    <w:name w:val="Titulo_CorpoTexto"/>
    <w:basedOn w:val="Ttulo-Original"/>
    <w:qFormat/>
    <w:rsid w:val="00286A9E"/>
    <w:pPr>
      <w:jc w:val="center"/>
    </w:pPr>
    <w:rPr>
      <w:sz w:val="20"/>
    </w:rPr>
  </w:style>
  <w:style w:type="paragraph" w:customStyle="1" w:styleId="TextoTopicos">
    <w:name w:val="Texto_Topicos"/>
    <w:basedOn w:val="Texto"/>
    <w:next w:val="Texto"/>
    <w:qFormat/>
    <w:rsid w:val="0092437A"/>
    <w:pPr>
      <w:numPr>
        <w:numId w:val="1"/>
      </w:numPr>
      <w:contextualSpacing/>
    </w:pPr>
    <w:rPr>
      <w:lang w:val="es-ES_tradnl"/>
    </w:rPr>
  </w:style>
  <w:style w:type="paragraph" w:customStyle="1" w:styleId="TextoNumeracao">
    <w:name w:val="Texto_Numeracao"/>
    <w:basedOn w:val="TextoTopicos"/>
    <w:next w:val="Texto"/>
    <w:autoRedefine/>
    <w:qFormat/>
    <w:rsid w:val="0075124D"/>
    <w:pPr>
      <w:numPr>
        <w:numId w:val="2"/>
      </w:numPr>
    </w:pPr>
  </w:style>
  <w:style w:type="paragraph" w:customStyle="1" w:styleId="TextoTitulo1">
    <w:name w:val="Texto_Titulo1"/>
    <w:basedOn w:val="Ttulo-Original"/>
    <w:next w:val="Texto"/>
    <w:qFormat/>
    <w:rsid w:val="00851FE2"/>
    <w:pPr>
      <w:spacing w:before="240" w:after="120"/>
      <w:jc w:val="both"/>
    </w:pPr>
    <w:rPr>
      <w:b/>
      <w:smallCaps/>
      <w:sz w:val="24"/>
      <w:lang w:val="es-ES_tradnl"/>
    </w:rPr>
  </w:style>
  <w:style w:type="character" w:styleId="Hyperlink">
    <w:name w:val="Hyperlink"/>
    <w:basedOn w:val="Fontepargpadro"/>
    <w:uiPriority w:val="99"/>
    <w:unhideWhenUsed/>
    <w:rsid w:val="00530FF4"/>
    <w:rPr>
      <w:color w:val="0000FF" w:themeColor="hyperlink"/>
      <w:u w:val="single"/>
    </w:rPr>
  </w:style>
  <w:style w:type="paragraph" w:customStyle="1" w:styleId="TextoTitulo2">
    <w:name w:val="Texto_Titulo2"/>
    <w:basedOn w:val="TextoTitulo1"/>
    <w:next w:val="Texto"/>
    <w:qFormat/>
    <w:rsid w:val="00061832"/>
  </w:style>
  <w:style w:type="paragraph" w:customStyle="1" w:styleId="Figura">
    <w:name w:val="Figura"/>
    <w:basedOn w:val="Texto"/>
    <w:next w:val="Texto"/>
    <w:qFormat/>
    <w:rsid w:val="007621C7"/>
    <w:pPr>
      <w:spacing w:line="240" w:lineRule="auto"/>
      <w:ind w:firstLine="0"/>
      <w:jc w:val="left"/>
    </w:pPr>
    <w:rPr>
      <w:sz w:val="20"/>
      <w:lang w:val="es-ES_tradnl"/>
    </w:rPr>
  </w:style>
  <w:style w:type="table" w:styleId="Tabelacomgrade">
    <w:name w:val="Table Grid"/>
    <w:basedOn w:val="Tabelanormal"/>
    <w:uiPriority w:val="39"/>
    <w:rsid w:val="00762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aTitulo">
    <w:name w:val="Figura_Titulo"/>
    <w:basedOn w:val="Texto1Paragrafo"/>
    <w:next w:val="Figura"/>
    <w:qFormat/>
    <w:rsid w:val="007621C7"/>
    <w:pPr>
      <w:spacing w:line="240" w:lineRule="auto"/>
      <w:jc w:val="center"/>
    </w:pPr>
    <w:rPr>
      <w:b/>
    </w:rPr>
  </w:style>
  <w:style w:type="paragraph" w:customStyle="1" w:styleId="FiguraImagem">
    <w:name w:val="Figura_Imagem"/>
    <w:basedOn w:val="FiguraTitulo"/>
    <w:qFormat/>
    <w:rsid w:val="007621C7"/>
    <w:pPr>
      <w:spacing w:after="0"/>
    </w:pPr>
    <w:rPr>
      <w:rFonts w:ascii="Times New Roman" w:eastAsia="Arial Unicode MS" w:hAnsi="Times New Roman" w:cs="Times New Roman"/>
      <w:b w:val="0"/>
      <w:noProof/>
      <w:kern w:val="3"/>
      <w:lang w:eastAsia="pt-BR"/>
    </w:rPr>
  </w:style>
  <w:style w:type="paragraph" w:customStyle="1" w:styleId="FiguraFonte">
    <w:name w:val="Figura_Fonte"/>
    <w:basedOn w:val="FiguraTitulo"/>
    <w:next w:val="Figura"/>
    <w:qFormat/>
    <w:rsid w:val="003E06C9"/>
    <w:pPr>
      <w:spacing w:after="240"/>
      <w:jc w:val="both"/>
    </w:pPr>
    <w:rPr>
      <w:b w:val="0"/>
      <w:sz w:val="20"/>
    </w:rPr>
  </w:style>
  <w:style w:type="paragraph" w:customStyle="1" w:styleId="TextoTtulo3">
    <w:name w:val="Texto_Título3"/>
    <w:basedOn w:val="TextoTitulo2"/>
    <w:next w:val="Texto"/>
    <w:qFormat/>
    <w:rsid w:val="00FE16BB"/>
    <w:pPr>
      <w:numPr>
        <w:numId w:val="4"/>
      </w:numPr>
    </w:pPr>
    <w:rPr>
      <w:b w:val="0"/>
      <w:i/>
    </w:rPr>
  </w:style>
  <w:style w:type="paragraph" w:styleId="PargrafodaLista">
    <w:name w:val="List Paragraph"/>
    <w:basedOn w:val="Normal"/>
    <w:uiPriority w:val="34"/>
    <w:qFormat/>
    <w:rsid w:val="00A70275"/>
    <w:pPr>
      <w:ind w:left="720"/>
      <w:contextualSpacing/>
    </w:pPr>
  </w:style>
  <w:style w:type="paragraph" w:customStyle="1" w:styleId="TextoTtulo4">
    <w:name w:val="Texto_Título4"/>
    <w:basedOn w:val="TextoTtulo3"/>
    <w:next w:val="Texto"/>
    <w:qFormat/>
    <w:rsid w:val="00C37B92"/>
    <w:pPr>
      <w:numPr>
        <w:numId w:val="0"/>
      </w:numPr>
    </w:pPr>
    <w:rPr>
      <w:rFonts w:ascii="Times New Roman" w:hAnsi="Times New Roman" w:cs="Times New Roman"/>
      <w:b/>
    </w:rPr>
  </w:style>
  <w:style w:type="paragraph" w:customStyle="1" w:styleId="FiguraTabela">
    <w:name w:val="Figura_Tabela"/>
    <w:basedOn w:val="Normal"/>
    <w:qFormat/>
    <w:rsid w:val="00DA18A9"/>
    <w:pPr>
      <w:widowControl w:val="0"/>
      <w:tabs>
        <w:tab w:val="center" w:pos="4252"/>
        <w:tab w:val="right" w:pos="8504"/>
      </w:tabs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Garamond" w:eastAsia="Arial Unicode MS" w:hAnsi="Garamond" w:cs="Times New Roman"/>
      <w:kern w:val="3"/>
      <w:sz w:val="24"/>
      <w:lang w:val="es-ES_tradnl" w:eastAsia="zh-CN"/>
    </w:rPr>
  </w:style>
  <w:style w:type="table" w:styleId="ListaMdia11">
    <w:name w:val="Medium List 1"/>
    <w:basedOn w:val="Tabelanormal"/>
    <w:uiPriority w:val="65"/>
    <w:rsid w:val="00DA18A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21">
    <w:name w:val="Medium List 2"/>
    <w:basedOn w:val="Tabelanormal"/>
    <w:uiPriority w:val="66"/>
    <w:rsid w:val="00DA18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21">
    <w:name w:val="Medium Grid 2"/>
    <w:basedOn w:val="Tabelanormal"/>
    <w:uiPriority w:val="68"/>
    <w:rsid w:val="00DA18A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mentoClaro1">
    <w:name w:val="Light Shading"/>
    <w:basedOn w:val="Tabelanormal"/>
    <w:uiPriority w:val="60"/>
    <w:rsid w:val="00DA18A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oCitacao">
    <w:name w:val="Texto_Citacao"/>
    <w:basedOn w:val="Texto"/>
    <w:next w:val="Texto"/>
    <w:qFormat/>
    <w:rsid w:val="00853E08"/>
    <w:pPr>
      <w:spacing w:after="240" w:line="240" w:lineRule="auto"/>
      <w:ind w:left="2268" w:firstLine="0"/>
    </w:pPr>
    <w:rPr>
      <w:sz w:val="20"/>
      <w:lang w:val="es-ES_tradnl"/>
    </w:rPr>
  </w:style>
  <w:style w:type="paragraph" w:customStyle="1" w:styleId="TextoReferncias">
    <w:name w:val="Texto_Referências"/>
    <w:basedOn w:val="Texto1Paragrafo"/>
    <w:qFormat/>
    <w:rsid w:val="00267716"/>
    <w:pPr>
      <w:spacing w:after="240" w:line="240" w:lineRule="auto"/>
    </w:pPr>
    <w:rPr>
      <w:lang w:val="es-ES_tradnl" w:eastAsia="zh-CN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77708"/>
    <w:pPr>
      <w:spacing w:after="120" w:line="360" w:lineRule="auto"/>
      <w:ind w:left="283" w:firstLine="709"/>
      <w:jc w:val="both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77708"/>
    <w:rPr>
      <w:rFonts w:ascii="Arial" w:eastAsia="Times New Roman" w:hAnsi="Arial" w:cs="Times New Roman"/>
      <w:sz w:val="16"/>
      <w:szCs w:val="16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rsid w:val="00877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87770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basedOn w:val="Fontepargpadro"/>
    <w:semiHidden/>
    <w:rsid w:val="00877708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87770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77708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77708"/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hps">
    <w:name w:val="hps"/>
    <w:basedOn w:val="Fontepargpadro"/>
    <w:rsid w:val="00557B0D"/>
  </w:style>
  <w:style w:type="character" w:customStyle="1" w:styleId="longtext">
    <w:name w:val="long_text"/>
    <w:basedOn w:val="Fontepargpadro"/>
    <w:rsid w:val="00557B0D"/>
  </w:style>
  <w:style w:type="character" w:customStyle="1" w:styleId="Ttulo2Char">
    <w:name w:val="Título 2 Char"/>
    <w:basedOn w:val="Fontepargpadro"/>
    <w:link w:val="Ttulo2"/>
    <w:uiPriority w:val="9"/>
    <w:rsid w:val="00EA28DD"/>
    <w:rPr>
      <w:rFonts w:ascii="Arial" w:eastAsiaTheme="majorEastAsia" w:hAnsi="Arial" w:cstheme="majorBidi"/>
      <w:b/>
      <w:bCs/>
      <w:i/>
      <w:color w:val="000000" w:themeColor="text1"/>
      <w:sz w:val="28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A28DD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EA28DD"/>
    <w:pPr>
      <w:tabs>
        <w:tab w:val="right" w:pos="8640"/>
      </w:tabs>
      <w:spacing w:after="0" w:line="360" w:lineRule="auto"/>
      <w:ind w:firstLine="703"/>
      <w:jc w:val="both"/>
    </w:pPr>
    <w:rPr>
      <w:rFonts w:ascii="Garamond" w:eastAsia="Times New Roman" w:hAnsi="Garamond" w:cs="Times New Roman"/>
      <w:spacing w:val="-2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A28DD"/>
    <w:rPr>
      <w:rFonts w:ascii="Garamond" w:eastAsia="Times New Roman" w:hAnsi="Garamond" w:cs="Times New Roman"/>
      <w:spacing w:val="-2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A28DD"/>
    <w:rPr>
      <w:i/>
      <w:iCs/>
    </w:rPr>
  </w:style>
  <w:style w:type="paragraph" w:styleId="NormalWeb">
    <w:name w:val="Normal (Web)"/>
    <w:basedOn w:val="Normal"/>
    <w:unhideWhenUsed/>
    <w:rsid w:val="00EA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A28DD"/>
  </w:style>
  <w:style w:type="paragraph" w:customStyle="1" w:styleId="Estilo1">
    <w:name w:val="Estilo1"/>
    <w:basedOn w:val="Normal"/>
    <w:rsid w:val="00EA28DD"/>
    <w:pPr>
      <w:spacing w:after="0" w:line="360" w:lineRule="auto"/>
      <w:ind w:left="567"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EstiloJustificadoPrimeiralinha125cmEspaamentoentrelinh">
    <w:name w:val="Estilo Justificado Primeira linha:  125 cm Espaçamento entre linh..."/>
    <w:basedOn w:val="Normal"/>
    <w:link w:val="EstiloJustificadoPrimeiralinha125cmEspaamentoentrelinhChar"/>
    <w:rsid w:val="00EA28D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JustificadoPrimeiralinha125cmEspaamentoentrelinhChar">
    <w:name w:val="Estilo Justificado Primeira linha:  125 cm Espaçamento entre linh... Char"/>
    <w:basedOn w:val="Fontepargpadro"/>
    <w:link w:val="EstiloJustificadoPrimeiralinha125cmEspaamentoentrelinh"/>
    <w:rsid w:val="00EA28DD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rsid w:val="00EA2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EA28DD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EA28DD"/>
    <w:pPr>
      <w:tabs>
        <w:tab w:val="clear" w:pos="3402"/>
      </w:tabs>
      <w:spacing w:before="480" w:line="276" w:lineRule="auto"/>
      <w:ind w:left="0"/>
      <w:jc w:val="left"/>
      <w:outlineLvl w:val="9"/>
    </w:pPr>
    <w:rPr>
      <w:rFonts w:asciiTheme="majorHAnsi" w:hAnsiTheme="majorHAnsi"/>
      <w:smallCaps w:val="0"/>
      <w:color w:val="365F91" w:themeColor="accent1" w:themeShade="BF"/>
      <w:sz w:val="28"/>
    </w:rPr>
  </w:style>
  <w:style w:type="paragraph" w:styleId="Sumrio1">
    <w:name w:val="toc 1"/>
    <w:basedOn w:val="Normal"/>
    <w:next w:val="Normal"/>
    <w:autoRedefine/>
    <w:uiPriority w:val="39"/>
    <w:unhideWhenUsed/>
    <w:rsid w:val="00EA28DD"/>
    <w:pPr>
      <w:spacing w:before="120" w:after="120" w:line="360" w:lineRule="auto"/>
      <w:ind w:firstLine="709"/>
    </w:pPr>
    <w:rPr>
      <w:rFonts w:eastAsia="Times New Roman" w:cstheme="minorHAnsi"/>
      <w:b/>
      <w:bCs/>
      <w:caps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EA28DD"/>
    <w:pPr>
      <w:spacing w:after="0" w:line="360" w:lineRule="auto"/>
      <w:ind w:left="240" w:firstLine="709"/>
    </w:pPr>
    <w:rPr>
      <w:rFonts w:eastAsia="Times New Roman" w:cstheme="minorHAnsi"/>
      <w:smallCaps/>
      <w:sz w:val="20"/>
      <w:szCs w:val="20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EA28DD"/>
    <w:pPr>
      <w:spacing w:after="0" w:line="360" w:lineRule="auto"/>
      <w:ind w:left="480" w:firstLine="709"/>
    </w:pPr>
    <w:rPr>
      <w:rFonts w:eastAsia="Times New Roman" w:cstheme="minorHAnsi"/>
      <w:i/>
      <w:iCs/>
      <w:sz w:val="20"/>
      <w:szCs w:val="20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EA28DD"/>
    <w:pPr>
      <w:spacing w:after="0" w:line="360" w:lineRule="auto"/>
      <w:ind w:left="720" w:firstLine="709"/>
    </w:pPr>
    <w:rPr>
      <w:rFonts w:eastAsia="Times New Roman" w:cstheme="minorHAnsi"/>
      <w:sz w:val="18"/>
      <w:szCs w:val="18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EA28DD"/>
    <w:pPr>
      <w:spacing w:after="0" w:line="360" w:lineRule="auto"/>
      <w:ind w:left="960" w:firstLine="709"/>
    </w:pPr>
    <w:rPr>
      <w:rFonts w:eastAsia="Times New Roman" w:cstheme="minorHAnsi"/>
      <w:sz w:val="18"/>
      <w:szCs w:val="18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EA28DD"/>
    <w:pPr>
      <w:spacing w:after="0" w:line="360" w:lineRule="auto"/>
      <w:ind w:left="1200" w:firstLine="709"/>
    </w:pPr>
    <w:rPr>
      <w:rFonts w:eastAsia="Times New Roman" w:cstheme="minorHAnsi"/>
      <w:sz w:val="18"/>
      <w:szCs w:val="18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EA28DD"/>
    <w:pPr>
      <w:spacing w:after="0" w:line="360" w:lineRule="auto"/>
      <w:ind w:left="1440" w:firstLine="709"/>
    </w:pPr>
    <w:rPr>
      <w:rFonts w:eastAsia="Times New Roman" w:cstheme="minorHAnsi"/>
      <w:sz w:val="18"/>
      <w:szCs w:val="18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EA28DD"/>
    <w:pPr>
      <w:spacing w:after="0" w:line="360" w:lineRule="auto"/>
      <w:ind w:left="1680" w:firstLine="709"/>
    </w:pPr>
    <w:rPr>
      <w:rFonts w:eastAsia="Times New Roman" w:cstheme="minorHAnsi"/>
      <w:sz w:val="18"/>
      <w:szCs w:val="18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EA28DD"/>
    <w:pPr>
      <w:spacing w:after="0" w:line="360" w:lineRule="auto"/>
      <w:ind w:left="1920" w:firstLine="709"/>
    </w:pPr>
    <w:rPr>
      <w:rFonts w:eastAsia="Times New Roman" w:cstheme="minorHAnsi"/>
      <w:sz w:val="18"/>
      <w:szCs w:val="18"/>
      <w:lang w:eastAsia="pt-BR"/>
    </w:rPr>
  </w:style>
  <w:style w:type="paragraph" w:customStyle="1" w:styleId="EstiloEstiloJustificadoPrimeiralinha125cmEspaamentoentre">
    <w:name w:val="Estilo Estilo Justificado Primeira linha:  125 cm Espaçamento entre ..."/>
    <w:basedOn w:val="Normal"/>
    <w:rsid w:val="00EA28DD"/>
    <w:pPr>
      <w:spacing w:after="0" w:line="480" w:lineRule="auto"/>
      <w:ind w:firstLine="851"/>
      <w:jc w:val="both"/>
    </w:pPr>
    <w:rPr>
      <w:rFonts w:ascii="Arial" w:eastAsia="Times New Roman" w:hAnsi="Arial" w:cs="Times New Roman"/>
      <w:lang w:eastAsia="pt-BR"/>
    </w:rPr>
  </w:style>
  <w:style w:type="character" w:customStyle="1" w:styleId="st">
    <w:name w:val="st"/>
    <w:basedOn w:val="Fontepargpadro"/>
    <w:rsid w:val="00EA28D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A28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A28DD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Lista">
    <w:name w:val="List"/>
    <w:basedOn w:val="Normal"/>
    <w:uiPriority w:val="99"/>
    <w:semiHidden/>
    <w:unhideWhenUsed/>
    <w:rsid w:val="00EA28DD"/>
    <w:pPr>
      <w:spacing w:after="0" w:line="360" w:lineRule="auto"/>
      <w:ind w:left="283" w:hanging="283"/>
      <w:contextualSpacing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28DD"/>
    <w:pPr>
      <w:spacing w:after="120" w:line="360" w:lineRule="auto"/>
      <w:ind w:left="283" w:firstLine="709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28DD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ecxmsonormal">
    <w:name w:val="ecxmsonormal"/>
    <w:basedOn w:val="Normal"/>
    <w:rsid w:val="00EA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Grade21">
    <w:name w:val="Tabela de Grade 21"/>
    <w:basedOn w:val="Tabelanormal"/>
    <w:uiPriority w:val="47"/>
    <w:rsid w:val="000A5C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0F04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4E9A"/>
    <w:pPr>
      <w:pBdr>
        <w:bottom w:val="single" w:sz="4" w:space="4" w:color="4F81BD" w:themeColor="accent1"/>
      </w:pBdr>
      <w:spacing w:after="0" w:line="240" w:lineRule="auto"/>
      <w:ind w:left="2268"/>
      <w:jc w:val="both"/>
    </w:pPr>
    <w:rPr>
      <w:rFonts w:ascii="Arial" w:hAnsi="Arial"/>
      <w:bCs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4E9A"/>
    <w:rPr>
      <w:rFonts w:ascii="Arial" w:hAnsi="Arial"/>
      <w:bCs/>
      <w:iCs/>
    </w:rPr>
  </w:style>
  <w:style w:type="table" w:styleId="GradeClara1">
    <w:name w:val="Light Grid"/>
    <w:basedOn w:val="Tabelanormal"/>
    <w:uiPriority w:val="62"/>
    <w:rsid w:val="00780C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Forte">
    <w:name w:val="Strong"/>
    <w:basedOn w:val="Fontepargpadro"/>
    <w:uiPriority w:val="22"/>
    <w:qFormat/>
    <w:rsid w:val="00D64DB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295C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26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C935-C539-460C-8F36-23C04E82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3142</Words>
  <Characters>16971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S. Pereira - Professora Assistente</dc:creator>
  <cp:lastModifiedBy>Usuário do Windows</cp:lastModifiedBy>
  <cp:revision>18</cp:revision>
  <cp:lastPrinted>2016-06-28T18:25:00Z</cp:lastPrinted>
  <dcterms:created xsi:type="dcterms:W3CDTF">2017-10-07T10:51:00Z</dcterms:created>
  <dcterms:modified xsi:type="dcterms:W3CDTF">2017-11-10T18:02:00Z</dcterms:modified>
</cp:coreProperties>
</file>