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276E" w14:textId="6705B6B6" w:rsidR="00F92DA0" w:rsidRPr="001F1488" w:rsidRDefault="00974F0B" w:rsidP="00225312">
      <w:pPr>
        <w:spacing w:after="0" w:line="240" w:lineRule="auto"/>
        <w:ind w:right="51"/>
        <w:jc w:val="center"/>
        <w:rPr>
          <w:rFonts w:ascii="Cambria" w:hAnsi="Cambria"/>
          <w:b/>
          <w:w w:val="110"/>
          <w:lang w:val="en-US"/>
        </w:rPr>
      </w:pPr>
      <w:r w:rsidRPr="001F1488">
        <w:rPr>
          <w:rFonts w:ascii="Cambria" w:hAnsi="Cambria"/>
          <w:b/>
        </w:rPr>
        <w:t>CONTROLE DE MILHO VOLUNTÁRIO COM DIFERENTES PRINCÍPIOS ATIVOS</w:t>
      </w:r>
    </w:p>
    <w:p w14:paraId="1C688E37" w14:textId="77777777" w:rsidR="0053346A" w:rsidRPr="001F1488" w:rsidRDefault="0053346A" w:rsidP="00225312">
      <w:pPr>
        <w:spacing w:after="0" w:line="240" w:lineRule="auto"/>
        <w:ind w:right="51"/>
        <w:jc w:val="center"/>
        <w:rPr>
          <w:rFonts w:ascii="Cambria" w:hAnsi="Cambria"/>
          <w:b/>
          <w:w w:val="110"/>
          <w:lang w:val="en-US"/>
        </w:rPr>
      </w:pPr>
    </w:p>
    <w:p w14:paraId="6557F911" w14:textId="3A52FF46" w:rsidR="00703838" w:rsidRPr="001F1488" w:rsidRDefault="00974F0B" w:rsidP="00225312">
      <w:pPr>
        <w:spacing w:after="0" w:line="240" w:lineRule="auto"/>
        <w:ind w:right="51"/>
        <w:jc w:val="center"/>
        <w:rPr>
          <w:rFonts w:ascii="Cambria" w:hAnsi="Cambria"/>
          <w:w w:val="110"/>
          <w:sz w:val="20"/>
          <w:szCs w:val="20"/>
        </w:rPr>
      </w:pPr>
      <w:r w:rsidRPr="001F1488">
        <w:rPr>
          <w:rFonts w:ascii="Cambria" w:hAnsi="Cambria"/>
          <w:sz w:val="20"/>
          <w:szCs w:val="20"/>
        </w:rPr>
        <w:t>VOLUNTEER CORN CONTROL WITH DIFFERENT ACTIVE PRINCIPLES</w:t>
      </w:r>
    </w:p>
    <w:p w14:paraId="20D00A5A" w14:textId="5F20CBA7" w:rsidR="0053346A" w:rsidRPr="001F1488" w:rsidRDefault="00974F0B" w:rsidP="00974F0B">
      <w:pPr>
        <w:tabs>
          <w:tab w:val="left" w:pos="5597"/>
        </w:tabs>
        <w:spacing w:after="0" w:line="240" w:lineRule="auto"/>
        <w:ind w:right="51"/>
        <w:rPr>
          <w:rFonts w:ascii="Cambria" w:hAnsi="Cambria"/>
          <w:sz w:val="10"/>
          <w:szCs w:val="10"/>
        </w:rPr>
      </w:pPr>
      <w:r w:rsidRPr="001F1488">
        <w:rPr>
          <w:rFonts w:ascii="Cambria" w:hAnsi="Cambria"/>
          <w:sz w:val="10"/>
          <w:szCs w:val="10"/>
        </w:rPr>
        <w:tab/>
      </w:r>
    </w:p>
    <w:p w14:paraId="3D4CFC34" w14:textId="75F744AA" w:rsidR="002C1523" w:rsidRPr="001F1488" w:rsidRDefault="002C1523" w:rsidP="00937DA6">
      <w:pPr>
        <w:spacing w:after="0" w:line="240" w:lineRule="auto"/>
        <w:ind w:right="51"/>
        <w:rPr>
          <w:rFonts w:ascii="Cambria" w:hAnsi="Cambria"/>
          <w:vertAlign w:val="superscript"/>
        </w:rPr>
      </w:pPr>
      <w:r w:rsidRPr="001F1488">
        <w:rPr>
          <w:rFonts w:ascii="Cambria" w:hAnsi="Cambria" w:cs="Times New Roman"/>
          <w:szCs w:val="24"/>
        </w:rPr>
        <w:t>Hugo Abreu de Sousa</w:t>
      </w:r>
      <w:r w:rsidRPr="001F1488">
        <w:rPr>
          <w:rFonts w:ascii="Cambria" w:hAnsi="Cambria" w:cs="Times New Roman"/>
          <w:szCs w:val="24"/>
          <w:vertAlign w:val="superscript"/>
        </w:rPr>
        <w:t>1</w:t>
      </w:r>
      <w:r w:rsidRPr="001F1488">
        <w:rPr>
          <w:rFonts w:ascii="Cambria" w:hAnsi="Cambria" w:cs="Times New Roman"/>
          <w:szCs w:val="24"/>
        </w:rPr>
        <w:t>; Luís Carlos de Sousa Fernandes</w:t>
      </w:r>
      <w:r w:rsidRPr="001F1488">
        <w:rPr>
          <w:rFonts w:ascii="Cambria" w:hAnsi="Cambria" w:cs="Times New Roman"/>
          <w:szCs w:val="24"/>
          <w:vertAlign w:val="superscript"/>
        </w:rPr>
        <w:t>1</w:t>
      </w:r>
      <w:r w:rsidRPr="001F1488">
        <w:rPr>
          <w:rFonts w:ascii="Cambria" w:hAnsi="Cambria" w:cs="Times New Roman"/>
          <w:szCs w:val="24"/>
        </w:rPr>
        <w:t>; Claudia Fabiana Alves Rezende</w:t>
      </w:r>
      <w:r w:rsidRPr="001F1488">
        <w:rPr>
          <w:rFonts w:ascii="Cambria" w:hAnsi="Cambria" w:cs="Times New Roman"/>
          <w:szCs w:val="24"/>
          <w:vertAlign w:val="superscript"/>
        </w:rPr>
        <w:t>2</w:t>
      </w:r>
    </w:p>
    <w:p w14:paraId="3767B365" w14:textId="77777777" w:rsidR="00F92DA0" w:rsidRPr="001F1488" w:rsidRDefault="00F92DA0" w:rsidP="00937DA6">
      <w:pPr>
        <w:spacing w:after="0" w:line="240" w:lineRule="auto"/>
        <w:ind w:right="51"/>
        <w:rPr>
          <w:rFonts w:ascii="Cambria" w:hAnsi="Cambria"/>
        </w:rPr>
      </w:pPr>
    </w:p>
    <w:p w14:paraId="0B4508F9" w14:textId="2B491705" w:rsidR="00F92DA0" w:rsidRPr="001F1488" w:rsidRDefault="00F92DA0" w:rsidP="00F92DA0">
      <w:pPr>
        <w:spacing w:after="0" w:line="240" w:lineRule="auto"/>
        <w:ind w:right="51"/>
        <w:rPr>
          <w:rFonts w:ascii="Cambria" w:hAnsi="Cambria"/>
          <w:i/>
          <w:w w:val="115"/>
          <w:sz w:val="16"/>
          <w:szCs w:val="16"/>
          <w:lang w:val="en-US"/>
        </w:rPr>
      </w:pPr>
      <w:r w:rsidRPr="001F1488">
        <w:rPr>
          <w:rFonts w:ascii="Cambria" w:hAnsi="Cambria"/>
          <w:i/>
          <w:w w:val="115"/>
          <w:sz w:val="16"/>
          <w:szCs w:val="16"/>
          <w:lang w:val="en-US"/>
        </w:rPr>
        <w:t>¹</w:t>
      </w:r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 xml:space="preserve">Discente do curso de Agronomia, UniEvangélica, </w:t>
      </w:r>
      <w:proofErr w:type="spellStart"/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>Anápolis</w:t>
      </w:r>
      <w:proofErr w:type="spellEnd"/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>, GO, Brasil.</w:t>
      </w:r>
    </w:p>
    <w:p w14:paraId="7275E6C3" w14:textId="427C07EE" w:rsidR="00F92DA0" w:rsidRPr="001F1488" w:rsidRDefault="00F92DA0" w:rsidP="00F92DA0">
      <w:pPr>
        <w:spacing w:after="0" w:line="240" w:lineRule="auto"/>
        <w:ind w:right="51"/>
        <w:rPr>
          <w:rFonts w:ascii="Cambria" w:hAnsi="Cambria"/>
          <w:i/>
          <w:w w:val="115"/>
          <w:sz w:val="16"/>
          <w:szCs w:val="16"/>
          <w:lang w:val="en-US"/>
        </w:rPr>
      </w:pPr>
      <w:r w:rsidRPr="001F1488">
        <w:rPr>
          <w:rFonts w:ascii="Cambria" w:hAnsi="Cambria"/>
          <w:i/>
          <w:w w:val="115"/>
          <w:sz w:val="16"/>
          <w:szCs w:val="16"/>
          <w:lang w:val="en-US"/>
        </w:rPr>
        <w:t>²</w:t>
      </w:r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 xml:space="preserve">Docente, </w:t>
      </w:r>
      <w:proofErr w:type="spellStart"/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>Doutora</w:t>
      </w:r>
      <w:proofErr w:type="spellEnd"/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 xml:space="preserve"> em Agronomia, UniEvangélica, </w:t>
      </w:r>
      <w:proofErr w:type="spellStart"/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>Anápolis</w:t>
      </w:r>
      <w:proofErr w:type="spellEnd"/>
      <w:r w:rsidR="002C1523" w:rsidRPr="001F1488">
        <w:rPr>
          <w:rFonts w:ascii="Cambria" w:hAnsi="Cambria"/>
          <w:i/>
          <w:w w:val="115"/>
          <w:sz w:val="16"/>
          <w:szCs w:val="16"/>
          <w:lang w:val="en-US"/>
        </w:rPr>
        <w:t>, GO, Brasil.</w:t>
      </w:r>
    </w:p>
    <w:p w14:paraId="63BEAFBA" w14:textId="793BD125" w:rsidR="00B56730" w:rsidRPr="001F1488" w:rsidRDefault="009A1398" w:rsidP="00F92DA0">
      <w:pPr>
        <w:pStyle w:val="Corpodetexto"/>
        <w:rPr>
          <w:sz w:val="20"/>
        </w:rPr>
      </w:pPr>
      <w:r w:rsidRPr="001F1488">
        <w:rPr>
          <w:noProof/>
          <w:sz w:val="20"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1E7DF2" wp14:editId="35DA6C5C">
                <wp:simplePos x="0" y="0"/>
                <wp:positionH relativeFrom="margin">
                  <wp:posOffset>32385</wp:posOffset>
                </wp:positionH>
                <wp:positionV relativeFrom="paragraph">
                  <wp:posOffset>195580</wp:posOffset>
                </wp:positionV>
                <wp:extent cx="2619375" cy="1704975"/>
                <wp:effectExtent l="38100" t="38100" r="47625" b="47625"/>
                <wp:wrapTight wrapText="bothSides">
                  <wp:wrapPolygon edited="0">
                    <wp:start x="-314" y="-483"/>
                    <wp:lineTo x="-314" y="21962"/>
                    <wp:lineTo x="21836" y="21962"/>
                    <wp:lineTo x="21836" y="-483"/>
                    <wp:lineTo x="-314" y="-483"/>
                  </wp:wrapPolygon>
                </wp:wrapTight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704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8EEF" w14:textId="77777777" w:rsidR="00B56730" w:rsidRPr="00AC4C5A" w:rsidRDefault="00B56730" w:rsidP="00B5673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AC4C5A">
                              <w:rPr>
                                <w:rFonts w:ascii="Cambria" w:hAnsi="Cambria"/>
                                <w:b/>
                              </w:rPr>
                              <w:t>Info</w:t>
                            </w:r>
                          </w:p>
                          <w:p w14:paraId="54A330ED" w14:textId="2E04E153" w:rsidR="00B56730" w:rsidRPr="00AC4C5A" w:rsidRDefault="00B56730" w:rsidP="00B56730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AC4C5A">
                              <w:rPr>
                                <w:rFonts w:ascii="Cambria" w:hAnsi="Cambria"/>
                              </w:rPr>
                              <w:t>Recebido:</w:t>
                            </w:r>
                            <w:r w:rsidR="00523E02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1398E697" w14:textId="0C450413" w:rsidR="00B56730" w:rsidRDefault="00B56730" w:rsidP="00B56730">
                            <w:pPr>
                              <w:spacing w:after="0" w:line="240" w:lineRule="auto"/>
                              <w:rPr>
                                <w:rFonts w:ascii="Cambria" w:hAnsi="Cambria"/>
                              </w:rPr>
                            </w:pPr>
                            <w:r w:rsidRPr="00AC4C5A">
                              <w:rPr>
                                <w:rFonts w:ascii="Cambria" w:hAnsi="Cambria"/>
                              </w:rPr>
                              <w:t>Publicado:</w:t>
                            </w:r>
                            <w:r w:rsidR="004D18F5" w:rsidRPr="00AC4C5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7E93B894" w14:textId="0820BF8F" w:rsidR="007E2BB7" w:rsidRDefault="007057C2" w:rsidP="00B5673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ISSN: </w:t>
                            </w:r>
                            <w:r>
                              <w:t>2595-6906</w:t>
                            </w:r>
                          </w:p>
                          <w:p w14:paraId="6B619701" w14:textId="73F00AF3" w:rsidR="00937DA6" w:rsidRDefault="00937DA6" w:rsidP="00B56730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</w:pPr>
                            <w:r>
                              <w:t xml:space="preserve">DOI: </w:t>
                            </w:r>
                            <w:r w:rsidR="00B209A9" w:rsidRPr="00B209A9">
                              <w:t>10.37951/2595-6906.2021v5i1.6545</w:t>
                            </w:r>
                          </w:p>
                          <w:p w14:paraId="52EFD426" w14:textId="1F192B6B" w:rsidR="00B56730" w:rsidRPr="00AC4C5A" w:rsidRDefault="00B56730" w:rsidP="00B5673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AC4C5A">
                              <w:rPr>
                                <w:rFonts w:ascii="Cambria" w:hAnsi="Cambria"/>
                                <w:b/>
                              </w:rPr>
                              <w:t>Palavras-Chave</w:t>
                            </w:r>
                            <w:r w:rsidR="00906709">
                              <w:rPr>
                                <w:rFonts w:ascii="Cambria" w:hAnsi="Cambria"/>
                                <w:b/>
                              </w:rPr>
                              <w:t>:</w:t>
                            </w:r>
                          </w:p>
                          <w:p w14:paraId="4538490E" w14:textId="1476A5D4" w:rsidR="00F92DA0" w:rsidRPr="002C1523" w:rsidRDefault="002C1523" w:rsidP="00B5673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Cs/>
                                <w:i/>
                              </w:rPr>
                            </w:pPr>
                            <w:r w:rsidRPr="002C1523">
                              <w:rPr>
                                <w:rFonts w:ascii="Cambria" w:hAnsi="Cambria"/>
                                <w:iCs/>
                                <w:szCs w:val="24"/>
                              </w:rPr>
                              <w:t>Herbicidas</w:t>
                            </w:r>
                            <w:r w:rsidR="00F92DA0" w:rsidRPr="002C1523">
                              <w:rPr>
                                <w:rFonts w:ascii="Cambria" w:hAnsi="Cambria"/>
                                <w:bCs/>
                                <w:i/>
                              </w:rPr>
                              <w:t xml:space="preserve">; </w:t>
                            </w:r>
                            <w:r w:rsidRPr="002C1523">
                              <w:rPr>
                                <w:rFonts w:ascii="Cambria" w:hAnsi="Cambria"/>
                                <w:iCs/>
                                <w:szCs w:val="24"/>
                              </w:rPr>
                              <w:t>competição</w:t>
                            </w:r>
                            <w:r w:rsidR="00F92DA0" w:rsidRPr="002C1523">
                              <w:rPr>
                                <w:rFonts w:ascii="Cambria" w:hAnsi="Cambria"/>
                                <w:bCs/>
                                <w:i/>
                              </w:rPr>
                              <w:t xml:space="preserve">; </w:t>
                            </w:r>
                            <w:r w:rsidRPr="002C1523">
                              <w:rPr>
                                <w:rFonts w:ascii="Cambria" w:hAnsi="Cambria"/>
                                <w:szCs w:val="24"/>
                              </w:rPr>
                              <w:t>milho tiguera</w:t>
                            </w:r>
                            <w:r w:rsidR="00F92DA0" w:rsidRPr="002C1523">
                              <w:rPr>
                                <w:rFonts w:ascii="Cambria" w:hAnsi="Cambria"/>
                                <w:bCs/>
                                <w:i/>
                              </w:rPr>
                              <w:t>.</w:t>
                            </w:r>
                          </w:p>
                          <w:p w14:paraId="2F05B7E8" w14:textId="52B6ADD9" w:rsidR="00B56730" w:rsidRDefault="00B56730" w:rsidP="00B5673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lang w:val="en-US"/>
                              </w:rPr>
                            </w:pPr>
                            <w:r w:rsidRPr="00781879">
                              <w:rPr>
                                <w:rFonts w:ascii="Cambria" w:hAnsi="Cambria"/>
                                <w:b/>
                                <w:lang w:val="en-US"/>
                              </w:rPr>
                              <w:t>Keywords:</w:t>
                            </w:r>
                          </w:p>
                          <w:p w14:paraId="096D0C89" w14:textId="06DE68C3" w:rsidR="00B56730" w:rsidRPr="00AC4C5A" w:rsidRDefault="00906709" w:rsidP="00F92DA0">
                            <w:pPr>
                              <w:spacing w:after="0" w:line="240" w:lineRule="auto"/>
                              <w:rPr>
                                <w:rFonts w:ascii="Cambria" w:hAnsi="Cambria"/>
                                <w:lang w:val="en-US"/>
                              </w:rPr>
                            </w:pPr>
                            <w:r w:rsidRPr="00906709">
                              <w:rPr>
                                <w:rFonts w:ascii="Cambria" w:hAnsi="Cambria"/>
                                <w:lang w:val="en-US"/>
                              </w:rPr>
                              <w:t xml:space="preserve">Herbicides; competition; </w:t>
                            </w:r>
                            <w:proofErr w:type="spellStart"/>
                            <w:r w:rsidRPr="00906709">
                              <w:rPr>
                                <w:rFonts w:ascii="Cambria" w:hAnsi="Cambria"/>
                                <w:lang w:val="en-US"/>
                              </w:rPr>
                              <w:t>tiguera</w:t>
                            </w:r>
                            <w:proofErr w:type="spellEnd"/>
                            <w:r w:rsidRPr="00906709">
                              <w:rPr>
                                <w:rFonts w:ascii="Cambria" w:hAnsi="Cambria"/>
                                <w:lang w:val="en-US"/>
                              </w:rPr>
                              <w:t xml:space="preserve"> corn</w:t>
                            </w:r>
                            <w:r>
                              <w:rPr>
                                <w:rFonts w:ascii="Cambria" w:hAnsi="Cambria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E7D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55pt;margin-top:15.4pt;width:206.25pt;height:134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" filled="f" strokecolor="white [3212]" strokeweight="6pt">
                <v:textbox>
                  <w:txbxContent>
                    <w:p w14:paraId="3C278EEF" w14:textId="77777777" w:rsidR="00B56730" w:rsidRPr="00AC4C5A" w:rsidRDefault="00B56730" w:rsidP="00B5673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 w:rsidRPr="00AC4C5A">
                        <w:rPr>
                          <w:rFonts w:ascii="Cambria" w:hAnsi="Cambria"/>
                          <w:b/>
                        </w:rPr>
                        <w:t>Info</w:t>
                      </w:r>
                    </w:p>
                    <w:p w14:paraId="54A330ED" w14:textId="2E04E153" w:rsidR="00B56730" w:rsidRPr="00AC4C5A" w:rsidRDefault="00B56730" w:rsidP="00B56730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AC4C5A">
                        <w:rPr>
                          <w:rFonts w:ascii="Cambria" w:hAnsi="Cambria"/>
                        </w:rPr>
                        <w:t>Recebido:</w:t>
                      </w:r>
                      <w:r w:rsidR="00523E02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1398E697" w14:textId="0C450413" w:rsidR="00B56730" w:rsidRDefault="00B56730" w:rsidP="00B56730">
                      <w:pPr>
                        <w:spacing w:after="0" w:line="240" w:lineRule="auto"/>
                        <w:rPr>
                          <w:rFonts w:ascii="Cambria" w:hAnsi="Cambria"/>
                        </w:rPr>
                      </w:pPr>
                      <w:r w:rsidRPr="00AC4C5A">
                        <w:rPr>
                          <w:rFonts w:ascii="Cambria" w:hAnsi="Cambria"/>
                        </w:rPr>
                        <w:t>Publicado:</w:t>
                      </w:r>
                      <w:r w:rsidR="004D18F5" w:rsidRPr="00AC4C5A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7E93B894" w14:textId="0820BF8F" w:rsidR="007E2BB7" w:rsidRDefault="007057C2" w:rsidP="00B5673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</w:pPr>
                      <w:r>
                        <w:rPr>
                          <w:rFonts w:ascii="Cambria" w:hAnsi="Cambria"/>
                        </w:rPr>
                        <w:t xml:space="preserve">ISSN: </w:t>
                      </w:r>
                      <w:r>
                        <w:t>2595-6906</w:t>
                      </w:r>
                    </w:p>
                    <w:p w14:paraId="6B619701" w14:textId="73F00AF3" w:rsidR="00937DA6" w:rsidRDefault="00937DA6" w:rsidP="00B56730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</w:pPr>
                      <w:r>
                        <w:t xml:space="preserve">DOI: </w:t>
                      </w:r>
                      <w:r w:rsidR="00B209A9" w:rsidRPr="00B209A9">
                        <w:t>10.37951/2595-6906.2021v5i1.6545</w:t>
                      </w:r>
                    </w:p>
                    <w:p w14:paraId="52EFD426" w14:textId="1F192B6B" w:rsidR="00B56730" w:rsidRPr="00AC4C5A" w:rsidRDefault="00B56730" w:rsidP="00B56730">
                      <w:pPr>
                        <w:spacing w:after="0" w:line="240" w:lineRule="auto"/>
                        <w:rPr>
                          <w:rFonts w:ascii="Cambria" w:hAnsi="Cambria"/>
                          <w:b/>
                        </w:rPr>
                      </w:pPr>
                      <w:r w:rsidRPr="00AC4C5A">
                        <w:rPr>
                          <w:rFonts w:ascii="Cambria" w:hAnsi="Cambria"/>
                          <w:b/>
                        </w:rPr>
                        <w:t>Palavras-Chave</w:t>
                      </w:r>
                      <w:r w:rsidR="00906709">
                        <w:rPr>
                          <w:rFonts w:ascii="Cambria" w:hAnsi="Cambria"/>
                          <w:b/>
                        </w:rPr>
                        <w:t>:</w:t>
                      </w:r>
                    </w:p>
                    <w:p w14:paraId="4538490E" w14:textId="1476A5D4" w:rsidR="00F92DA0" w:rsidRPr="002C1523" w:rsidRDefault="002C1523" w:rsidP="00B56730">
                      <w:pPr>
                        <w:spacing w:after="0" w:line="240" w:lineRule="auto"/>
                        <w:rPr>
                          <w:rFonts w:ascii="Cambria" w:hAnsi="Cambria"/>
                          <w:bCs/>
                          <w:i/>
                        </w:rPr>
                      </w:pPr>
                      <w:r w:rsidRPr="002C1523">
                        <w:rPr>
                          <w:rFonts w:ascii="Cambria" w:hAnsi="Cambria"/>
                          <w:iCs/>
                          <w:szCs w:val="24"/>
                        </w:rPr>
                        <w:t>Herbicidas</w:t>
                      </w:r>
                      <w:r w:rsidR="00F92DA0" w:rsidRPr="002C1523">
                        <w:rPr>
                          <w:rFonts w:ascii="Cambria" w:hAnsi="Cambria"/>
                          <w:bCs/>
                          <w:i/>
                        </w:rPr>
                        <w:t xml:space="preserve">; </w:t>
                      </w:r>
                      <w:r w:rsidRPr="002C1523">
                        <w:rPr>
                          <w:rFonts w:ascii="Cambria" w:hAnsi="Cambria"/>
                          <w:iCs/>
                          <w:szCs w:val="24"/>
                        </w:rPr>
                        <w:t>competição</w:t>
                      </w:r>
                      <w:r w:rsidR="00F92DA0" w:rsidRPr="002C1523">
                        <w:rPr>
                          <w:rFonts w:ascii="Cambria" w:hAnsi="Cambria"/>
                          <w:bCs/>
                          <w:i/>
                        </w:rPr>
                        <w:t xml:space="preserve">; </w:t>
                      </w:r>
                      <w:r w:rsidRPr="002C1523">
                        <w:rPr>
                          <w:rFonts w:ascii="Cambria" w:hAnsi="Cambria"/>
                          <w:szCs w:val="24"/>
                        </w:rPr>
                        <w:t>milho tiguera</w:t>
                      </w:r>
                      <w:r w:rsidR="00F92DA0" w:rsidRPr="002C1523">
                        <w:rPr>
                          <w:rFonts w:ascii="Cambria" w:hAnsi="Cambria"/>
                          <w:bCs/>
                          <w:i/>
                        </w:rPr>
                        <w:t>.</w:t>
                      </w:r>
                    </w:p>
                    <w:p w14:paraId="2F05B7E8" w14:textId="52B6ADD9" w:rsidR="00B56730" w:rsidRDefault="00B56730" w:rsidP="00B5673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lang w:val="en-US"/>
                        </w:rPr>
                      </w:pPr>
                      <w:r w:rsidRPr="00781879">
                        <w:rPr>
                          <w:rFonts w:ascii="Cambria" w:hAnsi="Cambria"/>
                          <w:b/>
                          <w:lang w:val="en-US"/>
                        </w:rPr>
                        <w:t>Keywords:</w:t>
                      </w:r>
                    </w:p>
                    <w:p w14:paraId="096D0C89" w14:textId="06DE68C3" w:rsidR="00B56730" w:rsidRPr="00AC4C5A" w:rsidRDefault="00906709" w:rsidP="00F92DA0">
                      <w:pPr>
                        <w:spacing w:after="0" w:line="240" w:lineRule="auto"/>
                        <w:rPr>
                          <w:rFonts w:ascii="Cambria" w:hAnsi="Cambria"/>
                          <w:lang w:val="en-US"/>
                        </w:rPr>
                      </w:pPr>
                      <w:r w:rsidRPr="00906709">
                        <w:rPr>
                          <w:rFonts w:ascii="Cambria" w:hAnsi="Cambria"/>
                          <w:lang w:val="en-US"/>
                        </w:rPr>
                        <w:t xml:space="preserve">Herbicides; competition; </w:t>
                      </w:r>
                      <w:proofErr w:type="spellStart"/>
                      <w:r w:rsidRPr="00906709">
                        <w:rPr>
                          <w:rFonts w:ascii="Cambria" w:hAnsi="Cambria"/>
                          <w:lang w:val="en-US"/>
                        </w:rPr>
                        <w:t>tiguera</w:t>
                      </w:r>
                      <w:proofErr w:type="spellEnd"/>
                      <w:r w:rsidRPr="00906709">
                        <w:rPr>
                          <w:rFonts w:ascii="Cambria" w:hAnsi="Cambria"/>
                          <w:lang w:val="en-US"/>
                        </w:rPr>
                        <w:t xml:space="preserve"> corn</w:t>
                      </w:r>
                      <w:r>
                        <w:rPr>
                          <w:rFonts w:ascii="Cambria" w:hAnsi="Cambria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56730" w:rsidRPr="001F1488">
        <w:rPr>
          <w:noProof/>
          <w:sz w:val="1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CC5A66" wp14:editId="0C1C4F23">
                <wp:simplePos x="0" y="0"/>
                <wp:positionH relativeFrom="page">
                  <wp:posOffset>539750</wp:posOffset>
                </wp:positionH>
                <wp:positionV relativeFrom="paragraph">
                  <wp:posOffset>120015</wp:posOffset>
                </wp:positionV>
                <wp:extent cx="6604635" cy="0"/>
                <wp:effectExtent l="6350" t="5715" r="8890" b="13335"/>
                <wp:wrapTopAndBottom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635" cy="0"/>
                        </a:xfrm>
                        <a:prstGeom prst="line">
                          <a:avLst/>
                        </a:prstGeom>
                        <a:noFill/>
                        <a:ln w="28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9625E" id="Conector reto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9.45pt" to="562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" strokeweight=".08008mm">
                <w10:wrap type="topAndBottom" anchorx="page"/>
              </v:line>
            </w:pict>
          </mc:Fallback>
        </mc:AlternateContent>
      </w:r>
    </w:p>
    <w:p w14:paraId="2568710D" w14:textId="7C9B7D17" w:rsidR="00B56730" w:rsidRPr="001F1488" w:rsidRDefault="00937DA6" w:rsidP="009749D9">
      <w:pPr>
        <w:pBdr>
          <w:bottom w:val="single" w:sz="12" w:space="1" w:color="auto"/>
        </w:pBdr>
        <w:spacing w:after="0" w:line="240" w:lineRule="auto"/>
        <w:rPr>
          <w:rFonts w:ascii="Cambria" w:hAnsi="Cambria"/>
          <w:b/>
          <w:bCs/>
          <w:lang w:val="en-US"/>
        </w:rPr>
      </w:pPr>
      <w:proofErr w:type="spellStart"/>
      <w:r w:rsidRPr="001F1488">
        <w:rPr>
          <w:rFonts w:ascii="Cambria" w:hAnsi="Cambria"/>
          <w:b/>
          <w:bCs/>
          <w:lang w:val="en-US"/>
        </w:rPr>
        <w:t>Resumo</w:t>
      </w:r>
      <w:proofErr w:type="spellEnd"/>
    </w:p>
    <w:p w14:paraId="6BF80434" w14:textId="72C06B41" w:rsidR="00524A16" w:rsidRPr="00B209A9" w:rsidRDefault="002C1523" w:rsidP="009749D9">
      <w:pPr>
        <w:spacing w:after="0" w:line="240" w:lineRule="auto"/>
        <w:jc w:val="both"/>
        <w:rPr>
          <w:rFonts w:ascii="Cambria" w:hAnsi="Cambria" w:cs="Arial"/>
          <w:sz w:val="20"/>
          <w:szCs w:val="20"/>
          <w:lang w:val="en-US"/>
        </w:rPr>
      </w:pPr>
      <w:r w:rsidRPr="00B209A9">
        <w:rPr>
          <w:bCs/>
          <w:sz w:val="20"/>
        </w:rPr>
        <w:t xml:space="preserve">São diversos componentes do processo que afetam negativamente a produção agrícola, sendo as plantas daninhas um dos aspectos mais cruciais. O cultivo da soja RR com presença de milho RR é considerado um problema técnico. As sementes de milho que resistem sobre o solo germinam na cultura da soja, infestando-a e formando um conflito interespecífico. O objetivo deste trabalho foi avaliar o desempenho de herbicidas para o controle de milho voluntário RR, em diferentes dosagens e estágios de desenvolvimento. </w:t>
      </w:r>
      <w:r w:rsidRPr="00B209A9">
        <w:rPr>
          <w:rFonts w:cs="Times New Roman"/>
          <w:bCs/>
          <w:sz w:val="20"/>
        </w:rPr>
        <w:t xml:space="preserve">O experimento foi conduzido na Fazenda </w:t>
      </w:r>
      <w:r w:rsidRPr="00B209A9">
        <w:rPr>
          <w:bCs/>
          <w:sz w:val="20"/>
        </w:rPr>
        <w:t>Rio dos Bois</w:t>
      </w:r>
      <w:r w:rsidRPr="00B209A9">
        <w:rPr>
          <w:rFonts w:cs="Times New Roman"/>
          <w:bCs/>
          <w:sz w:val="20"/>
        </w:rPr>
        <w:t xml:space="preserve">, Silvânia, GO. </w:t>
      </w:r>
      <w:r w:rsidRPr="00B209A9">
        <w:rPr>
          <w:bCs/>
          <w:sz w:val="20"/>
        </w:rPr>
        <w:t xml:space="preserve">O período de condução do experimento foi entre os meses de abril e maio de 2020. Foi separado uma área de 125 m² dividida em cinco canteiros com 25 m², contendo 50 </w:t>
      </w:r>
      <w:r w:rsidR="00974F0B" w:rsidRPr="00B209A9">
        <w:rPr>
          <w:bCs/>
          <w:sz w:val="20"/>
        </w:rPr>
        <w:t>cm de espaçamento entre linhas,</w:t>
      </w:r>
      <w:r w:rsidRPr="00B209A9">
        <w:rPr>
          <w:bCs/>
          <w:sz w:val="20"/>
        </w:rPr>
        <w:t xml:space="preserve"> 3,0 sementes m</w:t>
      </w:r>
      <w:r w:rsidRPr="00B209A9">
        <w:rPr>
          <w:bCs/>
          <w:sz w:val="20"/>
          <w:vertAlign w:val="superscript"/>
        </w:rPr>
        <w:t>-1</w:t>
      </w:r>
      <w:r w:rsidRPr="00B209A9">
        <w:rPr>
          <w:bCs/>
          <w:sz w:val="20"/>
        </w:rPr>
        <w:t xml:space="preserve"> linear</w:t>
      </w:r>
      <w:r w:rsidRPr="00B209A9">
        <w:rPr>
          <w:bCs/>
          <w:sz w:val="20"/>
          <w:vertAlign w:val="superscript"/>
        </w:rPr>
        <w:t>-1</w:t>
      </w:r>
      <w:r w:rsidRPr="00B209A9">
        <w:rPr>
          <w:bCs/>
          <w:sz w:val="20"/>
        </w:rPr>
        <w:t xml:space="preserve">. A cultivar utilizada foi o milho híbrido 2b433PW da </w:t>
      </w:r>
      <w:proofErr w:type="spellStart"/>
      <w:r w:rsidRPr="00B209A9">
        <w:rPr>
          <w:bCs/>
          <w:sz w:val="20"/>
        </w:rPr>
        <w:t>Brevant</w:t>
      </w:r>
      <w:proofErr w:type="spellEnd"/>
      <w:r w:rsidRPr="00B209A9">
        <w:rPr>
          <w:rFonts w:cs="Times New Roman"/>
          <w:bCs/>
          <w:sz w:val="20"/>
        </w:rPr>
        <w:t>®</w:t>
      </w:r>
      <w:r w:rsidRPr="00B209A9">
        <w:rPr>
          <w:bCs/>
          <w:sz w:val="20"/>
        </w:rPr>
        <w:t xml:space="preserve">, o plantio foi realizado no dia 20/04/2020. O delineamento experimental foi de blocos inteiramente </w:t>
      </w:r>
      <w:proofErr w:type="spellStart"/>
      <w:r w:rsidRPr="00B209A9">
        <w:rPr>
          <w:bCs/>
          <w:sz w:val="20"/>
        </w:rPr>
        <w:t>casualizados</w:t>
      </w:r>
      <w:proofErr w:type="spellEnd"/>
      <w:r w:rsidRPr="00B209A9">
        <w:rPr>
          <w:bCs/>
          <w:sz w:val="20"/>
        </w:rPr>
        <w:t xml:space="preserve"> com quatro tratamentos e quatro repetições, utilizando os herbicidas para o controle do milho voluntário. Para a </w:t>
      </w:r>
      <w:r w:rsidRPr="00B209A9">
        <w:rPr>
          <w:rFonts w:cs="Times New Roman"/>
          <w:bCs/>
          <w:sz w:val="20"/>
        </w:rPr>
        <w:t>interpretação dos resultados, foram definidos níveis de controle (conceitos) em função de faixas de eficiência de controle, utilizando a escala proposta pela Asociación Latinoamericana de Malezas. Na ter</w:t>
      </w:r>
      <w:r w:rsidRPr="00B209A9">
        <w:rPr>
          <w:bCs/>
          <w:sz w:val="20"/>
          <w:szCs w:val="20"/>
        </w:rPr>
        <w:t xml:space="preserve">ceira avaliação feita com 21 dias após as aplicações, foi observado o maior controle do tratamento com </w:t>
      </w:r>
      <w:proofErr w:type="spellStart"/>
      <w:r w:rsidR="00974F0B" w:rsidRPr="00B209A9">
        <w:rPr>
          <w:bCs/>
          <w:sz w:val="20"/>
          <w:szCs w:val="20"/>
        </w:rPr>
        <w:t>c</w:t>
      </w:r>
      <w:r w:rsidRPr="00B209A9">
        <w:rPr>
          <w:bCs/>
          <w:sz w:val="20"/>
          <w:szCs w:val="20"/>
        </w:rPr>
        <w:t>lorimuron</w:t>
      </w:r>
      <w:proofErr w:type="spellEnd"/>
      <w:r w:rsidRPr="00B209A9">
        <w:rPr>
          <w:bCs/>
          <w:sz w:val="20"/>
          <w:szCs w:val="20"/>
        </w:rPr>
        <w:t xml:space="preserve"> </w:t>
      </w:r>
      <w:proofErr w:type="spellStart"/>
      <w:r w:rsidRPr="00B209A9">
        <w:rPr>
          <w:bCs/>
          <w:sz w:val="20"/>
          <w:szCs w:val="20"/>
        </w:rPr>
        <w:t>na</w:t>
      </w:r>
      <w:proofErr w:type="spellEnd"/>
      <w:r w:rsidRPr="00B209A9">
        <w:rPr>
          <w:bCs/>
          <w:sz w:val="20"/>
          <w:szCs w:val="20"/>
        </w:rPr>
        <w:t xml:space="preserve"> pré-emergência, e com </w:t>
      </w:r>
      <w:proofErr w:type="spellStart"/>
      <w:r w:rsidR="00974F0B" w:rsidRPr="00B209A9">
        <w:rPr>
          <w:bCs/>
          <w:sz w:val="20"/>
          <w:szCs w:val="20"/>
        </w:rPr>
        <w:t>h</w:t>
      </w:r>
      <w:r w:rsidRPr="00B209A9">
        <w:rPr>
          <w:bCs/>
          <w:sz w:val="20"/>
          <w:szCs w:val="20"/>
        </w:rPr>
        <w:t>aloxyfope</w:t>
      </w:r>
      <w:proofErr w:type="spellEnd"/>
      <w:r w:rsidRPr="00B209A9">
        <w:rPr>
          <w:bCs/>
          <w:sz w:val="20"/>
          <w:szCs w:val="20"/>
        </w:rPr>
        <w:t xml:space="preserve"> na pós-emergência, levando um ótimo controle à todas as plantas tratadas. Todos foram bem eficazes, tanto os herbicidas pré-emergentes como o </w:t>
      </w:r>
      <w:proofErr w:type="spellStart"/>
      <w:r w:rsidR="00974F0B" w:rsidRPr="00B209A9">
        <w:rPr>
          <w:bCs/>
          <w:sz w:val="20"/>
          <w:szCs w:val="20"/>
        </w:rPr>
        <w:t>c</w:t>
      </w:r>
      <w:r w:rsidRPr="00B209A9">
        <w:rPr>
          <w:bCs/>
          <w:sz w:val="20"/>
          <w:szCs w:val="20"/>
        </w:rPr>
        <w:t>lorimurom</w:t>
      </w:r>
      <w:proofErr w:type="spellEnd"/>
      <w:r w:rsidRPr="00B209A9">
        <w:rPr>
          <w:bCs/>
          <w:sz w:val="20"/>
          <w:szCs w:val="20"/>
        </w:rPr>
        <w:t xml:space="preserve"> e o </w:t>
      </w:r>
      <w:proofErr w:type="spellStart"/>
      <w:r w:rsidR="00974F0B" w:rsidRPr="00B209A9">
        <w:rPr>
          <w:bCs/>
          <w:sz w:val="20"/>
          <w:szCs w:val="20"/>
        </w:rPr>
        <w:t>d</w:t>
      </w:r>
      <w:r w:rsidRPr="00B209A9">
        <w:rPr>
          <w:bCs/>
          <w:sz w:val="20"/>
          <w:szCs w:val="20"/>
        </w:rPr>
        <w:t>iclosulan</w:t>
      </w:r>
      <w:proofErr w:type="spellEnd"/>
      <w:r w:rsidRPr="00B209A9">
        <w:rPr>
          <w:bCs/>
          <w:sz w:val="20"/>
          <w:szCs w:val="20"/>
        </w:rPr>
        <w:t xml:space="preserve">, tanto nos pós-emergentes como o </w:t>
      </w:r>
      <w:proofErr w:type="spellStart"/>
      <w:r w:rsidR="00974F0B" w:rsidRPr="00B209A9">
        <w:rPr>
          <w:bCs/>
          <w:sz w:val="20"/>
          <w:szCs w:val="20"/>
        </w:rPr>
        <w:t>h</w:t>
      </w:r>
      <w:r w:rsidRPr="00B209A9">
        <w:rPr>
          <w:bCs/>
          <w:sz w:val="20"/>
          <w:szCs w:val="20"/>
        </w:rPr>
        <w:t>aloxyfope</w:t>
      </w:r>
      <w:proofErr w:type="spellEnd"/>
      <w:r w:rsidRPr="00B209A9">
        <w:rPr>
          <w:bCs/>
          <w:sz w:val="20"/>
          <w:szCs w:val="20"/>
        </w:rPr>
        <w:t xml:space="preserve"> e </w:t>
      </w:r>
      <w:proofErr w:type="spellStart"/>
      <w:r w:rsidR="00974F0B" w:rsidRPr="00B209A9">
        <w:rPr>
          <w:bCs/>
          <w:sz w:val="20"/>
          <w:szCs w:val="20"/>
        </w:rPr>
        <w:t>c</w:t>
      </w:r>
      <w:r w:rsidRPr="00B209A9">
        <w:rPr>
          <w:bCs/>
          <w:sz w:val="20"/>
          <w:szCs w:val="20"/>
        </w:rPr>
        <w:t>letodim</w:t>
      </w:r>
      <w:proofErr w:type="spellEnd"/>
      <w:r w:rsidRPr="00B209A9">
        <w:rPr>
          <w:bCs/>
          <w:sz w:val="20"/>
          <w:szCs w:val="20"/>
        </w:rPr>
        <w:t xml:space="preserve">. O </w:t>
      </w:r>
      <w:proofErr w:type="spellStart"/>
      <w:r w:rsidR="00974F0B" w:rsidRPr="00B209A9">
        <w:rPr>
          <w:bCs/>
          <w:sz w:val="20"/>
          <w:szCs w:val="20"/>
        </w:rPr>
        <w:t>c</w:t>
      </w:r>
      <w:r w:rsidRPr="00B209A9">
        <w:rPr>
          <w:bCs/>
          <w:sz w:val="20"/>
          <w:szCs w:val="20"/>
        </w:rPr>
        <w:t>lorimurom</w:t>
      </w:r>
      <w:proofErr w:type="spellEnd"/>
      <w:r w:rsidRPr="00B209A9">
        <w:rPr>
          <w:bCs/>
          <w:sz w:val="20"/>
          <w:szCs w:val="20"/>
        </w:rPr>
        <w:t xml:space="preserve"> e o </w:t>
      </w:r>
      <w:proofErr w:type="spellStart"/>
      <w:r w:rsidR="00974F0B" w:rsidRPr="00B209A9">
        <w:rPr>
          <w:bCs/>
          <w:sz w:val="20"/>
          <w:szCs w:val="20"/>
        </w:rPr>
        <w:t>h</w:t>
      </w:r>
      <w:r w:rsidRPr="00B209A9">
        <w:rPr>
          <w:bCs/>
          <w:sz w:val="20"/>
          <w:szCs w:val="20"/>
        </w:rPr>
        <w:t>aloxyfope</w:t>
      </w:r>
      <w:proofErr w:type="spellEnd"/>
      <w:r w:rsidRPr="00B209A9">
        <w:rPr>
          <w:bCs/>
          <w:sz w:val="20"/>
          <w:szCs w:val="20"/>
        </w:rPr>
        <w:t xml:space="preserve"> se mostraram mais eficientes em relação a morte rápida das plantas.</w:t>
      </w:r>
    </w:p>
    <w:p w14:paraId="0B7C1FF9" w14:textId="77777777" w:rsidR="00F92DA0" w:rsidRPr="001F1488" w:rsidRDefault="00F92DA0" w:rsidP="009749D9">
      <w:pPr>
        <w:spacing w:after="0" w:line="240" w:lineRule="auto"/>
        <w:jc w:val="both"/>
        <w:rPr>
          <w:rFonts w:ascii="Cambria" w:hAnsi="Cambria" w:cs="Arial"/>
          <w:lang w:val="en-US"/>
        </w:rPr>
      </w:pPr>
    </w:p>
    <w:p w14:paraId="4038F4CE" w14:textId="579318D2" w:rsidR="00B56730" w:rsidRPr="001F1488" w:rsidRDefault="00937DA6" w:rsidP="009749D9">
      <w:pPr>
        <w:pBdr>
          <w:bottom w:val="single" w:sz="12" w:space="1" w:color="auto"/>
        </w:pBdr>
        <w:spacing w:after="0" w:line="240" w:lineRule="auto"/>
        <w:jc w:val="both"/>
        <w:rPr>
          <w:rFonts w:ascii="Cambria" w:hAnsi="Cambria"/>
          <w:b/>
          <w:lang w:eastAsia="x-none"/>
        </w:rPr>
      </w:pPr>
      <w:r w:rsidRPr="001F1488">
        <w:rPr>
          <w:rFonts w:ascii="Cambria" w:hAnsi="Cambria"/>
          <w:b/>
          <w:lang w:eastAsia="x-none"/>
        </w:rPr>
        <w:t>Abstract</w:t>
      </w:r>
    </w:p>
    <w:p w14:paraId="23BAA6FA" w14:textId="177BE15D" w:rsidR="002C1523" w:rsidRDefault="00974F0B" w:rsidP="00F92DA0">
      <w:pPr>
        <w:spacing w:after="0"/>
        <w:jc w:val="both"/>
        <w:rPr>
          <w:rFonts w:ascii="Cambria" w:hAnsi="Cambria"/>
          <w:sz w:val="20"/>
          <w:szCs w:val="20"/>
          <w:lang w:eastAsia="x-none"/>
        </w:rPr>
      </w:pPr>
      <w:bookmarkStart w:id="0" w:name="_Toc517558981"/>
      <w:bookmarkStart w:id="1" w:name="_Toc348698508"/>
      <w:bookmarkStart w:id="2" w:name="_Toc352762629"/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There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are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several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components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process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that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negatively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affect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agricultural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production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with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weeds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being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one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most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crucial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aspects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. The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cultivation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RR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soybeans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with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presence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RR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maize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is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considered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a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technical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problem. The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corn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seeds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that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resist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soil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germinate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in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soybean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culture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infesting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it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forming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interspecific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conflict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. The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objective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this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work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to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evaluate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performance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herbicides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for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control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voluntary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RR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maize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in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different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dosages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stages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development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. The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experiment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carried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out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Fazenda Rio dos Bois, Silvânia, GO. The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period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conduction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experiment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between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months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april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may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2020.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area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​​125 m²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divided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divided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into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five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beds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with 25 m²,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containing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50 cm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spacing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between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lines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3.0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seeds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m</w:t>
      </w:r>
      <w:r w:rsidRPr="00B209A9">
        <w:rPr>
          <w:rFonts w:ascii="Cambria" w:hAnsi="Cambria"/>
          <w:sz w:val="20"/>
          <w:szCs w:val="20"/>
          <w:vertAlign w:val="superscript"/>
          <w:lang w:eastAsia="x-none"/>
        </w:rPr>
        <w:t>-1</w:t>
      </w:r>
      <w:r w:rsidRPr="00B209A9">
        <w:rPr>
          <w:rFonts w:ascii="Cambria" w:hAnsi="Cambria"/>
          <w:sz w:val="20"/>
          <w:szCs w:val="20"/>
          <w:lang w:eastAsia="x-none"/>
        </w:rPr>
        <w:t xml:space="preserve"> linear</w:t>
      </w:r>
      <w:r w:rsidRPr="00B209A9">
        <w:rPr>
          <w:rFonts w:ascii="Cambria" w:hAnsi="Cambria"/>
          <w:sz w:val="20"/>
          <w:szCs w:val="20"/>
          <w:vertAlign w:val="superscript"/>
          <w:lang w:eastAsia="x-none"/>
        </w:rPr>
        <w:t>-1</w:t>
      </w:r>
      <w:r w:rsidRPr="00B209A9">
        <w:rPr>
          <w:rFonts w:ascii="Cambria" w:hAnsi="Cambria"/>
          <w:sz w:val="20"/>
          <w:szCs w:val="20"/>
          <w:lang w:eastAsia="x-none"/>
        </w:rPr>
        <w:t xml:space="preserve">. The cultivar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used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hybrid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corn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2b433PW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from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Brevant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®,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planting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carried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out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20/04/2020. The experimental design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completely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randomized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blocks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with four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treatments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four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replications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using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herbicides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to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control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voluntary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corn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. For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interpretation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results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control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levels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(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concepts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)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were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defined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according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to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control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efficiency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ranges,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using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scale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proposed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Asociación Latinoamericana de Malezas. In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third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evaluation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made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21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days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after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applications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it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was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observed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a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greater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control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treatment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with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clorimuron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in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pre-emergence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with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haloxyfope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in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post-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emergence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bringing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excellent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control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to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all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treated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plants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.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All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were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very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effective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both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pre-emergent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herbicides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such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as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corimurom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diclosulan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,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both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in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post-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emergents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such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as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haloxyfope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cletodim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.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Clorimurom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and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haloxyfope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proved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to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be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more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efficient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in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relation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to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the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rapid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death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of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 xml:space="preserve"> </w:t>
      </w:r>
      <w:proofErr w:type="spellStart"/>
      <w:r w:rsidRPr="00B209A9">
        <w:rPr>
          <w:rFonts w:ascii="Cambria" w:hAnsi="Cambria"/>
          <w:sz w:val="20"/>
          <w:szCs w:val="20"/>
          <w:lang w:eastAsia="x-none"/>
        </w:rPr>
        <w:t>plants</w:t>
      </w:r>
      <w:proofErr w:type="spellEnd"/>
      <w:r w:rsidRPr="00B209A9">
        <w:rPr>
          <w:rFonts w:ascii="Cambria" w:hAnsi="Cambria"/>
          <w:sz w:val="20"/>
          <w:szCs w:val="20"/>
          <w:lang w:eastAsia="x-none"/>
        </w:rPr>
        <w:t>.</w:t>
      </w:r>
    </w:p>
    <w:p w14:paraId="06815B65" w14:textId="77777777" w:rsidR="00B209A9" w:rsidRPr="00B209A9" w:rsidRDefault="00B209A9" w:rsidP="00F92DA0">
      <w:pPr>
        <w:spacing w:after="0"/>
        <w:jc w:val="both"/>
        <w:rPr>
          <w:rFonts w:ascii="Cambria" w:hAnsi="Cambria"/>
          <w:sz w:val="20"/>
          <w:szCs w:val="20"/>
          <w:lang w:eastAsia="x-none"/>
        </w:rPr>
      </w:pPr>
    </w:p>
    <w:p w14:paraId="49952ADB" w14:textId="77777777" w:rsidR="002C1523" w:rsidRPr="001F1488" w:rsidRDefault="002C1523" w:rsidP="00F92DA0">
      <w:pPr>
        <w:spacing w:after="0"/>
        <w:jc w:val="both"/>
        <w:rPr>
          <w:rFonts w:ascii="Cambria" w:hAnsi="Cambria"/>
          <w:lang w:eastAsia="x-none"/>
        </w:rPr>
      </w:pPr>
    </w:p>
    <w:p w14:paraId="33F8BDDB" w14:textId="1F685694" w:rsidR="00F92DA0" w:rsidRPr="001F1488" w:rsidRDefault="00F92DA0" w:rsidP="00F92DA0">
      <w:pPr>
        <w:spacing w:after="0"/>
        <w:jc w:val="both"/>
        <w:rPr>
          <w:lang w:eastAsia="x-none"/>
        </w:rPr>
        <w:sectPr w:rsidR="00F92DA0" w:rsidRPr="001F1488" w:rsidSect="006B7449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pgNumType w:start="1"/>
          <w:cols w:space="282"/>
          <w:docGrid w:linePitch="360"/>
        </w:sectPr>
      </w:pPr>
    </w:p>
    <w:p w14:paraId="07F8846F" w14:textId="40D836DA" w:rsidR="00F92DA0" w:rsidRPr="001F1488" w:rsidRDefault="002C1523" w:rsidP="00F92DA0">
      <w:pPr>
        <w:spacing w:after="0" w:line="360" w:lineRule="auto"/>
        <w:jc w:val="both"/>
        <w:rPr>
          <w:rFonts w:ascii="Garamond" w:eastAsia="Calibri" w:hAnsi="Garamond" w:cs="Times New Roman"/>
          <w:b/>
          <w:lang w:val="en-US"/>
        </w:rPr>
      </w:pPr>
      <w:bookmarkStart w:id="3" w:name="_Hlk31914938"/>
      <w:bookmarkStart w:id="4" w:name="_Toc17224960"/>
      <w:bookmarkStart w:id="5" w:name="_Toc24723170"/>
      <w:bookmarkStart w:id="6" w:name="_Toc24723146"/>
      <w:bookmarkEnd w:id="0"/>
      <w:bookmarkEnd w:id="1"/>
      <w:bookmarkEnd w:id="2"/>
      <w:r w:rsidRPr="001F1488">
        <w:rPr>
          <w:rFonts w:ascii="Garamond" w:eastAsia="Calibri" w:hAnsi="Garamond" w:cs="Times New Roman"/>
          <w:b/>
          <w:lang w:val="en-US"/>
        </w:rPr>
        <w:lastRenderedPageBreak/>
        <w:t>INTRODUÇÃO</w:t>
      </w:r>
    </w:p>
    <w:p w14:paraId="775513BA" w14:textId="2DC2594F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>O plantio do milho como uma nova safra, após a safra da soja, também conhecido como milho "safrinha", é uma veracidade no Brasil e domina grandes campos de produção. Nesses processos produtivos, os restos de grãos e de partes de espigas com grãos são comuns, durante o sistema de safra do milho, e dão origem a plantas alternativas na cultura poste</w:t>
      </w:r>
      <w:r w:rsidR="00906709" w:rsidRPr="001F1488">
        <w:rPr>
          <w:rFonts w:ascii="Garamond" w:hAnsi="Garamond"/>
          <w:bCs/>
        </w:rPr>
        <w:t>rior e conhecida como tigueras</w:t>
      </w:r>
      <w:r w:rsidRPr="001F1488">
        <w:rPr>
          <w:rFonts w:ascii="Garamond" w:hAnsi="Garamond"/>
          <w:bCs/>
        </w:rPr>
        <w:t xml:space="preserve">. Os </w:t>
      </w:r>
      <w:bookmarkStart w:id="7" w:name="_Hlk39618854"/>
      <w:r w:rsidRPr="001F1488">
        <w:rPr>
          <w:rFonts w:ascii="Garamond" w:hAnsi="Garamond"/>
          <w:bCs/>
        </w:rPr>
        <w:t>grãos desamparados ou espigas perdidas na colheita de milho safrinha continua no solo, com perspectiva de desenvolvimento durante toda a estação seca. Depois de o início da estação pluviosa e a semeação da cultura posterior, ou seja, primeira cultura da safra seguinte, essas sementes dão origem a planas voluntárias</w:t>
      </w:r>
      <w:bookmarkEnd w:id="7"/>
      <w:r w:rsidRPr="001F1488">
        <w:rPr>
          <w:rFonts w:ascii="Garamond" w:hAnsi="Garamond"/>
          <w:bCs/>
        </w:rPr>
        <w:t xml:space="preserve"> (LOPEZ-OVEJERO </w:t>
      </w:r>
      <w:r w:rsidR="00974F0B" w:rsidRPr="001F1488">
        <w:rPr>
          <w:rFonts w:ascii="Garamond" w:hAnsi="Garamond"/>
          <w:bCs/>
          <w:i/>
        </w:rPr>
        <w:t>et al</w:t>
      </w:r>
      <w:r w:rsidRPr="001F1488">
        <w:rPr>
          <w:rFonts w:ascii="Garamond" w:hAnsi="Garamond"/>
          <w:bCs/>
        </w:rPr>
        <w:t>., 2016).</w:t>
      </w:r>
    </w:p>
    <w:p w14:paraId="61235920" w14:textId="77777777" w:rsidR="00906709" w:rsidRPr="001F1488" w:rsidRDefault="00906709" w:rsidP="00FC01A7">
      <w:pPr>
        <w:spacing w:after="0" w:line="360" w:lineRule="auto"/>
        <w:ind w:firstLine="567"/>
        <w:jc w:val="both"/>
        <w:rPr>
          <w:rFonts w:ascii="Garamond" w:hAnsi="Garamond"/>
          <w:bCs/>
        </w:rPr>
      </w:pPr>
      <w:bookmarkStart w:id="8" w:name="_Hlk39618913"/>
      <w:r w:rsidRPr="001F1488">
        <w:rPr>
          <w:rFonts w:ascii="Garamond" w:hAnsi="Garamond"/>
          <w:bCs/>
        </w:rPr>
        <w:t xml:space="preserve">A convivência de plantas voluntárias com a cultura em sucessão pode resultar em perdas diretas ou indiretas, inclusive dificuldade de colheita, competição por recursos de crescimento e a possibilidade de hospedagem de insetos e patógenos (DEEN </w:t>
      </w:r>
      <w:r w:rsidRPr="001F1488">
        <w:rPr>
          <w:rFonts w:ascii="Garamond" w:hAnsi="Garamond"/>
          <w:bCs/>
          <w:i/>
        </w:rPr>
        <w:t>et al</w:t>
      </w:r>
      <w:r w:rsidRPr="001F1488">
        <w:rPr>
          <w:rFonts w:ascii="Garamond" w:hAnsi="Garamond"/>
          <w:bCs/>
        </w:rPr>
        <w:t xml:space="preserve">., 2006). A ocorrência de milho voluntário, na soja, foi constatada bem antes do surgimento dos eventos de transgenia que conferem às culturas tolerantes a herbicidas (BECKETT e STOLLER, 1988). </w:t>
      </w:r>
    </w:p>
    <w:p w14:paraId="15E2AC1A" w14:textId="241F1A3C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O cultivo da soja RR em consórcio como milho RR é considerado um problema técnico. As sementes de milho que resistem sobre o solo germinam na cultura da soja, infestando-a e formando um conflito interespecífico. O milho presente torna-se planta daninha e de complexo manejo, com capacidade de diminuir em até 69,9% o rendimento da cultura da soja </w:t>
      </w:r>
      <w:bookmarkEnd w:id="8"/>
      <w:r w:rsidRPr="001F1488">
        <w:rPr>
          <w:rFonts w:ascii="Garamond" w:hAnsi="Garamond"/>
          <w:bCs/>
        </w:rPr>
        <w:t xml:space="preserve">(LOPEZ-OVEJERO </w:t>
      </w:r>
      <w:r w:rsidR="00974F0B" w:rsidRPr="001F1488">
        <w:rPr>
          <w:rFonts w:ascii="Garamond" w:hAnsi="Garamond"/>
          <w:bCs/>
          <w:i/>
        </w:rPr>
        <w:t>et al</w:t>
      </w:r>
      <w:r w:rsidRPr="001F1488">
        <w:rPr>
          <w:rFonts w:ascii="Garamond" w:hAnsi="Garamond"/>
          <w:bCs/>
        </w:rPr>
        <w:t>., 2016).</w:t>
      </w:r>
    </w:p>
    <w:p w14:paraId="33F119B8" w14:textId="4CB2D093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São diversos componentes do processo que afetam negativamente a produção agrícola, sendo as plantas daninhas um dos aspectos mais cruciais os quais estão associados a aspectos diretos, como conflito com as culturas por nutrientes, luz, água e espaço físico, além do impacto alopático promovido. Como efeito indireto, </w:t>
      </w:r>
      <w:r w:rsidRPr="001F1488">
        <w:rPr>
          <w:rFonts w:ascii="Garamond" w:hAnsi="Garamond"/>
          <w:bCs/>
        </w:rPr>
        <w:t xml:space="preserve">são hospedeiras de pragas, doenças e nematoides, além de dificultar práticas culturais, na colheita e em tubulação de irrigação.  Estima-se para uma perda de 10% na produção da cultura da soja, são essenciais três plantas daninhas por m² (VOLL </w:t>
      </w:r>
      <w:r w:rsidR="00974F0B" w:rsidRPr="001F1488">
        <w:rPr>
          <w:rFonts w:ascii="Garamond" w:hAnsi="Garamond"/>
          <w:bCs/>
          <w:i/>
        </w:rPr>
        <w:t>et al</w:t>
      </w:r>
      <w:r w:rsidRPr="001F1488">
        <w:rPr>
          <w:rFonts w:ascii="Garamond" w:hAnsi="Garamond"/>
          <w:bCs/>
        </w:rPr>
        <w:t>., 2002).</w:t>
      </w:r>
    </w:p>
    <w:p w14:paraId="43746B21" w14:textId="24327CAB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No entanto, as práticas de manejo tiveram de ser alteradas com a liberação de híbridos de milho tolerantes ao glifosato, principalmente, quando a cultura em sucessão também é tolerante ao produto. A infestação de milho voluntário é tolerante a herbicidas, nas culturas plantadas em sucessão ou rotação também tolerantes aos mesmos herbicidas (PETTER </w:t>
      </w:r>
      <w:r w:rsidR="00974F0B" w:rsidRPr="001F1488">
        <w:rPr>
          <w:rFonts w:ascii="Garamond" w:hAnsi="Garamond"/>
          <w:bCs/>
          <w:i/>
        </w:rPr>
        <w:t>et al</w:t>
      </w:r>
      <w:r w:rsidRPr="001F1488">
        <w:rPr>
          <w:rFonts w:ascii="Garamond" w:hAnsi="Garamond"/>
          <w:bCs/>
        </w:rPr>
        <w:t>., 2015).</w:t>
      </w:r>
    </w:p>
    <w:p w14:paraId="643EAF2C" w14:textId="77777777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O uso de herbicidas pré-emergentes na cultura da soja é uma ferramenta para reduzir o grau de infestação das plantas daninhas de complexo controle ou com histórico de resistência ao glifosato. Destaca-se herbicidas como: </w:t>
      </w:r>
      <w:proofErr w:type="spellStart"/>
      <w:r w:rsidRPr="001F1488">
        <w:rPr>
          <w:rFonts w:ascii="Garamond" w:hAnsi="Garamond"/>
          <w:bCs/>
        </w:rPr>
        <w:t>chlorimuronethyl</w:t>
      </w:r>
      <w:proofErr w:type="spellEnd"/>
      <w:r w:rsidRPr="001F1488">
        <w:rPr>
          <w:rFonts w:ascii="Garamond" w:hAnsi="Garamond"/>
          <w:bCs/>
        </w:rPr>
        <w:t xml:space="preserve"> e </w:t>
      </w:r>
      <w:proofErr w:type="spellStart"/>
      <w:r w:rsidRPr="001F1488">
        <w:rPr>
          <w:rFonts w:ascii="Garamond" w:hAnsi="Garamond"/>
          <w:bCs/>
        </w:rPr>
        <w:t>diclosulan</w:t>
      </w:r>
      <w:proofErr w:type="spellEnd"/>
      <w:r w:rsidRPr="001F1488">
        <w:rPr>
          <w:rFonts w:ascii="Garamond" w:hAnsi="Garamond"/>
          <w:bCs/>
        </w:rPr>
        <w:t xml:space="preserve">, inibidores da enzima </w:t>
      </w:r>
      <w:proofErr w:type="spellStart"/>
      <w:r w:rsidRPr="001F1488">
        <w:rPr>
          <w:rFonts w:ascii="Garamond" w:hAnsi="Garamond"/>
          <w:bCs/>
        </w:rPr>
        <w:t>acetolactato</w:t>
      </w:r>
      <w:proofErr w:type="spellEnd"/>
      <w:r w:rsidRPr="001F1488">
        <w:rPr>
          <w:rFonts w:ascii="Garamond" w:hAnsi="Garamond"/>
          <w:bCs/>
        </w:rPr>
        <w:t xml:space="preserve"> sintase (ALS) (HEAP, 2016).</w:t>
      </w:r>
    </w:p>
    <w:p w14:paraId="53D31130" w14:textId="3A05DB32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bookmarkStart w:id="9" w:name="_Hlk36061921"/>
      <w:r w:rsidRPr="001F1488">
        <w:rPr>
          <w:rFonts w:ascii="Garamond" w:hAnsi="Garamond"/>
          <w:bCs/>
        </w:rPr>
        <w:t xml:space="preserve">O </w:t>
      </w:r>
      <w:proofErr w:type="spellStart"/>
      <w:r w:rsidRPr="001F1488">
        <w:rPr>
          <w:rFonts w:ascii="Garamond" w:hAnsi="Garamond"/>
          <w:bCs/>
        </w:rPr>
        <w:t>chlorimuron-ethyl</w:t>
      </w:r>
      <w:proofErr w:type="spellEnd"/>
      <w:r w:rsidRPr="001F1488">
        <w:rPr>
          <w:rFonts w:ascii="Garamond" w:hAnsi="Garamond"/>
          <w:bCs/>
        </w:rPr>
        <w:t xml:space="preserve"> é um herbicida inibidor da ALS referente ao grupo químico das </w:t>
      </w:r>
      <w:proofErr w:type="spellStart"/>
      <w:r w:rsidRPr="001F1488">
        <w:rPr>
          <w:rFonts w:ascii="Garamond" w:hAnsi="Garamond"/>
          <w:bCs/>
        </w:rPr>
        <w:t>sulfonilureias</w:t>
      </w:r>
      <w:proofErr w:type="spellEnd"/>
      <w:r w:rsidRPr="001F1488">
        <w:rPr>
          <w:rFonts w:ascii="Garamond" w:hAnsi="Garamond"/>
          <w:bCs/>
        </w:rPr>
        <w:t>, com meia-vida (t</w:t>
      </w:r>
      <w:r w:rsidRPr="001F1488">
        <w:rPr>
          <w:rFonts w:ascii="Garamond" w:hAnsi="Garamond"/>
          <w:bCs/>
          <w:vertAlign w:val="subscript"/>
        </w:rPr>
        <w:t>1/2</w:t>
      </w:r>
      <w:r w:rsidRPr="001F1488">
        <w:rPr>
          <w:rFonts w:ascii="Garamond" w:hAnsi="Garamond"/>
          <w:bCs/>
        </w:rPr>
        <w:t xml:space="preserve">) em torno de 42 a 61 dias, dependendo do teor de argila e matéria orgânica do solo. Em solos com grandes teores desses elementos o </w:t>
      </w:r>
      <w:proofErr w:type="spellStart"/>
      <w:r w:rsidRPr="001F1488">
        <w:rPr>
          <w:rFonts w:ascii="Garamond" w:hAnsi="Garamond"/>
          <w:bCs/>
        </w:rPr>
        <w:t>chlorimuron-ethyl</w:t>
      </w:r>
      <w:proofErr w:type="spellEnd"/>
      <w:r w:rsidRPr="001F1488">
        <w:rPr>
          <w:rFonts w:ascii="Garamond" w:hAnsi="Garamond"/>
          <w:bCs/>
        </w:rPr>
        <w:t xml:space="preserve"> sofre maior sorção (SUYAL </w:t>
      </w:r>
      <w:r w:rsidR="00974F0B" w:rsidRPr="001F1488">
        <w:rPr>
          <w:rFonts w:ascii="Garamond" w:hAnsi="Garamond"/>
          <w:bCs/>
          <w:i/>
        </w:rPr>
        <w:t>et al</w:t>
      </w:r>
      <w:r w:rsidR="00F940A1" w:rsidRPr="001F1488">
        <w:rPr>
          <w:rFonts w:ascii="Garamond" w:hAnsi="Garamond"/>
          <w:bCs/>
        </w:rPr>
        <w:t>., 2013</w:t>
      </w:r>
      <w:r w:rsidRPr="001F1488">
        <w:rPr>
          <w:rFonts w:ascii="Garamond" w:hAnsi="Garamond"/>
          <w:bCs/>
        </w:rPr>
        <w:t>).</w:t>
      </w:r>
    </w:p>
    <w:p w14:paraId="63472EFC" w14:textId="5BC668E7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O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 é um herbicida do grupo químico </w:t>
      </w:r>
      <w:proofErr w:type="spellStart"/>
      <w:r w:rsidRPr="001F1488">
        <w:rPr>
          <w:rFonts w:ascii="Garamond" w:hAnsi="Garamond"/>
          <w:bCs/>
        </w:rPr>
        <w:t>triazolo</w:t>
      </w:r>
      <w:proofErr w:type="spellEnd"/>
      <w:r w:rsidRPr="001F1488">
        <w:rPr>
          <w:rFonts w:ascii="Garamond" w:hAnsi="Garamond"/>
          <w:bCs/>
        </w:rPr>
        <w:t xml:space="preserve"> pirimidina </w:t>
      </w:r>
      <w:proofErr w:type="spellStart"/>
      <w:r w:rsidRPr="001F1488">
        <w:rPr>
          <w:rFonts w:ascii="Garamond" w:hAnsi="Garamond"/>
          <w:bCs/>
        </w:rPr>
        <w:t>sulfonanilidas</w:t>
      </w:r>
      <w:proofErr w:type="spellEnd"/>
      <w:r w:rsidRPr="001F1488">
        <w:rPr>
          <w:rFonts w:ascii="Garamond" w:hAnsi="Garamond"/>
          <w:bCs/>
        </w:rPr>
        <w:t xml:space="preserve">, indicado para controle de dicotiledôneas em pré-semeadura incorporada ou em pré-emergência na cultura da soja. Esse composto atua inibindo a enzima </w:t>
      </w:r>
      <w:proofErr w:type="spellStart"/>
      <w:r w:rsidRPr="001F1488">
        <w:rPr>
          <w:rFonts w:ascii="Garamond" w:hAnsi="Garamond"/>
          <w:bCs/>
        </w:rPr>
        <w:t>acetolactato</w:t>
      </w:r>
      <w:proofErr w:type="spellEnd"/>
      <w:r w:rsidRPr="001F1488">
        <w:rPr>
          <w:rFonts w:ascii="Garamond" w:hAnsi="Garamond"/>
          <w:bCs/>
        </w:rPr>
        <w:t xml:space="preserve"> sintase (ALS), a qual é essencial para a síntese dos aminoácidos valina, leucina e isoleucina (RODRIGUES</w:t>
      </w:r>
      <w:r w:rsidR="00974F0B" w:rsidRPr="001F1488">
        <w:rPr>
          <w:rFonts w:ascii="Garamond" w:hAnsi="Garamond"/>
          <w:bCs/>
        </w:rPr>
        <w:t xml:space="preserve"> e</w:t>
      </w:r>
      <w:r w:rsidRPr="001F1488">
        <w:rPr>
          <w:rFonts w:ascii="Garamond" w:hAnsi="Garamond"/>
          <w:bCs/>
        </w:rPr>
        <w:t xml:space="preserve"> ALMEIDA, 1998).</w:t>
      </w:r>
    </w:p>
    <w:p w14:paraId="3CE25D80" w14:textId="701697C7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O herbicida </w:t>
      </w:r>
      <w:proofErr w:type="spellStart"/>
      <w:r w:rsidRPr="001F1488">
        <w:rPr>
          <w:rFonts w:ascii="Garamond" w:hAnsi="Garamond"/>
          <w:bCs/>
        </w:rPr>
        <w:t>haloxifope</w:t>
      </w:r>
      <w:proofErr w:type="spellEnd"/>
      <w:r w:rsidRPr="001F1488">
        <w:rPr>
          <w:rFonts w:ascii="Garamond" w:hAnsi="Garamond"/>
          <w:bCs/>
        </w:rPr>
        <w:t xml:space="preserve">-p-metílico é usado para o controle de </w:t>
      </w:r>
      <w:r w:rsidRPr="001F1488">
        <w:rPr>
          <w:rFonts w:ascii="Garamond" w:hAnsi="Garamond"/>
          <w:bCs/>
          <w:i/>
          <w:iCs/>
        </w:rPr>
        <w:t xml:space="preserve">B. </w:t>
      </w:r>
      <w:proofErr w:type="spellStart"/>
      <w:r w:rsidRPr="001F1488">
        <w:rPr>
          <w:rFonts w:ascii="Garamond" w:hAnsi="Garamond"/>
          <w:bCs/>
          <w:i/>
          <w:iCs/>
        </w:rPr>
        <w:t>decumbens</w:t>
      </w:r>
      <w:proofErr w:type="spellEnd"/>
      <w:r w:rsidRPr="001F1488">
        <w:rPr>
          <w:rFonts w:ascii="Garamond" w:hAnsi="Garamond"/>
          <w:bCs/>
        </w:rPr>
        <w:t xml:space="preserve"> por muitos produtores. Esse herbicida pertence ao grupo químico ácido </w:t>
      </w:r>
      <w:proofErr w:type="spellStart"/>
      <w:r w:rsidRPr="001F1488">
        <w:rPr>
          <w:rFonts w:ascii="Garamond" w:hAnsi="Garamond"/>
          <w:bCs/>
        </w:rPr>
        <w:t>ariloxifenoxipropiônico</w:t>
      </w:r>
      <w:proofErr w:type="spellEnd"/>
      <w:r w:rsidRPr="001F1488">
        <w:rPr>
          <w:rFonts w:ascii="Garamond" w:hAnsi="Garamond"/>
          <w:bCs/>
        </w:rPr>
        <w:t xml:space="preserve">, inibidor da síntese de lipídeos, ou inibidores de </w:t>
      </w:r>
      <w:proofErr w:type="spellStart"/>
      <w:r w:rsidRPr="001F1488">
        <w:rPr>
          <w:rFonts w:ascii="Garamond" w:hAnsi="Garamond"/>
          <w:bCs/>
        </w:rPr>
        <w:t>ACCase</w:t>
      </w:r>
      <w:proofErr w:type="spellEnd"/>
      <w:r w:rsidRPr="001F1488">
        <w:rPr>
          <w:rFonts w:ascii="Garamond" w:hAnsi="Garamond"/>
          <w:bCs/>
        </w:rPr>
        <w:t xml:space="preserve">. Se os lipídeos não são </w:t>
      </w:r>
      <w:r w:rsidRPr="001F1488">
        <w:rPr>
          <w:rFonts w:ascii="Garamond" w:hAnsi="Garamond"/>
          <w:bCs/>
        </w:rPr>
        <w:lastRenderedPageBreak/>
        <w:t xml:space="preserve">produzidos dentro da planta, não há produção das membranas celulares e o crescimento da planta é paralisado. As gramíneas são particularmente sensíveis à inibição por herbicidas inibidores de </w:t>
      </w:r>
      <w:proofErr w:type="spellStart"/>
      <w:r w:rsidRPr="001F1488">
        <w:rPr>
          <w:rFonts w:ascii="Garamond" w:hAnsi="Garamond"/>
          <w:bCs/>
        </w:rPr>
        <w:t>ACCase</w:t>
      </w:r>
      <w:proofErr w:type="spellEnd"/>
      <w:r w:rsidRPr="001F1488">
        <w:rPr>
          <w:rFonts w:ascii="Garamond" w:hAnsi="Garamond"/>
          <w:bCs/>
        </w:rPr>
        <w:t xml:space="preserve">. (STEPHENSON </w:t>
      </w:r>
      <w:r w:rsidR="00974F0B" w:rsidRPr="001F1488">
        <w:rPr>
          <w:rFonts w:ascii="Garamond" w:hAnsi="Garamond"/>
          <w:bCs/>
          <w:i/>
        </w:rPr>
        <w:t>et al</w:t>
      </w:r>
      <w:r w:rsidRPr="001F1488">
        <w:rPr>
          <w:rFonts w:ascii="Garamond" w:hAnsi="Garamond"/>
          <w:bCs/>
        </w:rPr>
        <w:t>., 2006).</w:t>
      </w:r>
    </w:p>
    <w:p w14:paraId="5329DD2D" w14:textId="2C1CDF0F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 é um herbicida de ação </w:t>
      </w:r>
      <w:proofErr w:type="spellStart"/>
      <w:r w:rsidRPr="001F1488">
        <w:rPr>
          <w:rFonts w:ascii="Garamond" w:hAnsi="Garamond"/>
          <w:bCs/>
        </w:rPr>
        <w:t>graminicida</w:t>
      </w:r>
      <w:proofErr w:type="spellEnd"/>
      <w:r w:rsidRPr="001F1488">
        <w:rPr>
          <w:rFonts w:ascii="Garamond" w:hAnsi="Garamond"/>
          <w:bCs/>
        </w:rPr>
        <w:t xml:space="preserve"> pós-emergente, sistêmico, altamente seletivo para as culturas,</w:t>
      </w:r>
      <w:r w:rsidRPr="001F1488">
        <w:rPr>
          <w:rFonts w:ascii="Garamond" w:hAnsi="Garamond"/>
        </w:rPr>
        <w:t xml:space="preserve"> </w:t>
      </w:r>
      <w:r w:rsidRPr="001F1488">
        <w:rPr>
          <w:rFonts w:ascii="Garamond" w:hAnsi="Garamond"/>
          <w:bCs/>
        </w:rPr>
        <w:t xml:space="preserve">é absorvido essencialmente via foliar, com translocação sistêmica, </w:t>
      </w:r>
      <w:proofErr w:type="spellStart"/>
      <w:r w:rsidRPr="001F1488">
        <w:rPr>
          <w:rFonts w:ascii="Garamond" w:hAnsi="Garamond"/>
          <w:bCs/>
        </w:rPr>
        <w:t>apossimplastica</w:t>
      </w:r>
      <w:proofErr w:type="spellEnd"/>
      <w:r w:rsidRPr="001F1488">
        <w:rPr>
          <w:rFonts w:ascii="Garamond" w:hAnsi="Garamond"/>
          <w:bCs/>
        </w:rPr>
        <w:t xml:space="preserve"> atingindo desta forma as raízes e rizomas das plantas daninhas. Sua ação herbicida se dá pela inibição da enzima </w:t>
      </w:r>
      <w:proofErr w:type="spellStart"/>
      <w:r w:rsidRPr="001F1488">
        <w:rPr>
          <w:rFonts w:ascii="Garamond" w:hAnsi="Garamond"/>
          <w:bCs/>
        </w:rPr>
        <w:t>ACCase</w:t>
      </w:r>
      <w:proofErr w:type="spellEnd"/>
      <w:r w:rsidRPr="001F1488">
        <w:rPr>
          <w:rFonts w:ascii="Garamond" w:hAnsi="Garamond"/>
          <w:bCs/>
        </w:rPr>
        <w:t xml:space="preserve"> responsável pela biossíntese dos ácidos graxos, constituintes básicos da membrana celular, causando a inibição da divisão celular, formação de cloroplastos e diminuição da respiração (RODRIGUES</w:t>
      </w:r>
      <w:r w:rsidR="00974F0B" w:rsidRPr="001F1488">
        <w:rPr>
          <w:rFonts w:ascii="Garamond" w:hAnsi="Garamond"/>
          <w:bCs/>
        </w:rPr>
        <w:t xml:space="preserve"> e</w:t>
      </w:r>
      <w:r w:rsidRPr="001F1488">
        <w:rPr>
          <w:rFonts w:ascii="Garamond" w:hAnsi="Garamond"/>
          <w:bCs/>
        </w:rPr>
        <w:t xml:space="preserve"> ALMEIDA, 1998).</w:t>
      </w:r>
    </w:p>
    <w:bookmarkEnd w:id="9"/>
    <w:p w14:paraId="08617440" w14:textId="0816F3D9" w:rsidR="00F92DA0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Cs/>
        </w:rPr>
      </w:pPr>
      <w:r w:rsidRPr="001F1488">
        <w:rPr>
          <w:rFonts w:ascii="Garamond" w:hAnsi="Garamond"/>
          <w:bCs/>
        </w:rPr>
        <w:t>O objetivo deste trabalho foi avaliar o desempenho de herbicidas para o controle de milho voluntário RR, em diferentes dosagens e estágios de desenvolvimento.</w:t>
      </w:r>
    </w:p>
    <w:p w14:paraId="475C2AB7" w14:textId="77777777" w:rsidR="002C1523" w:rsidRPr="001F1488" w:rsidRDefault="002C1523" w:rsidP="00FC01A7">
      <w:pPr>
        <w:spacing w:after="0" w:line="360" w:lineRule="auto"/>
        <w:jc w:val="both"/>
        <w:rPr>
          <w:rFonts w:ascii="Garamond" w:eastAsia="Calibri" w:hAnsi="Garamond" w:cs="Times New Roman"/>
          <w:lang w:val="en-US"/>
        </w:rPr>
      </w:pPr>
    </w:p>
    <w:p w14:paraId="1DB55F11" w14:textId="3845A41B" w:rsidR="00F92DA0" w:rsidRPr="001F1488" w:rsidRDefault="00F92DA0" w:rsidP="00FC01A7">
      <w:pPr>
        <w:spacing w:after="0" w:line="360" w:lineRule="auto"/>
        <w:rPr>
          <w:rFonts w:ascii="Garamond" w:eastAsia="Calibri" w:hAnsi="Garamond" w:cs="Times New Roman"/>
          <w:b/>
          <w:lang w:val="en-US"/>
        </w:rPr>
      </w:pPr>
      <w:r w:rsidRPr="001F1488">
        <w:rPr>
          <w:rFonts w:ascii="Garamond" w:eastAsia="Calibri" w:hAnsi="Garamond" w:cs="Times New Roman"/>
          <w:b/>
          <w:lang w:val="en-US"/>
        </w:rPr>
        <w:t xml:space="preserve">MATERIAL </w:t>
      </w:r>
      <w:r w:rsidR="002C1523" w:rsidRPr="001F1488">
        <w:rPr>
          <w:rFonts w:ascii="Garamond" w:eastAsia="Calibri" w:hAnsi="Garamond" w:cs="Times New Roman"/>
          <w:b/>
          <w:lang w:val="en-US"/>
        </w:rPr>
        <w:t>E METÓDOS</w:t>
      </w:r>
    </w:p>
    <w:p w14:paraId="3A78B185" w14:textId="0F75FBBA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 w:cs="Times New Roman"/>
          <w:b/>
          <w:bCs/>
        </w:rPr>
      </w:pPr>
      <w:r w:rsidRPr="001F1488">
        <w:rPr>
          <w:rFonts w:ascii="Garamond" w:hAnsi="Garamond" w:cs="Times New Roman"/>
          <w:bCs/>
        </w:rPr>
        <w:t xml:space="preserve">O experimento foi conduzido na Fazenda </w:t>
      </w:r>
      <w:r w:rsidRPr="001F1488">
        <w:rPr>
          <w:rFonts w:ascii="Garamond" w:hAnsi="Garamond"/>
          <w:bCs/>
        </w:rPr>
        <w:t>Rio dos Bois</w:t>
      </w:r>
      <w:r w:rsidRPr="001F1488">
        <w:rPr>
          <w:rFonts w:ascii="Garamond" w:hAnsi="Garamond" w:cs="Times New Roman"/>
          <w:bCs/>
        </w:rPr>
        <w:t xml:space="preserve">, Silvânia, GO. O solo e classificado como Latossolo Vermelho distrófico localizado em relevo suave-ondulado, </w:t>
      </w:r>
      <w:r w:rsidRPr="001F1488">
        <w:rPr>
          <w:rFonts w:ascii="Garamond" w:hAnsi="Garamond"/>
          <w:bCs/>
        </w:rPr>
        <w:t xml:space="preserve">tendo as coordenadas geográficas, latitude 48°36’09’’ W, longitude 16°54’20’’ S, altitude 1.017m. </w:t>
      </w:r>
      <w:r w:rsidRPr="001F1488">
        <w:rPr>
          <w:rFonts w:ascii="Garamond" w:hAnsi="Garamond"/>
        </w:rPr>
        <w:t xml:space="preserve">O clima da região segundo o modelo de </w:t>
      </w:r>
      <w:proofErr w:type="spellStart"/>
      <w:r w:rsidRPr="001F1488">
        <w:rPr>
          <w:rFonts w:ascii="Garamond" w:hAnsi="Garamond"/>
        </w:rPr>
        <w:t>Köppen</w:t>
      </w:r>
      <w:proofErr w:type="spellEnd"/>
      <w:r w:rsidRPr="001F1488">
        <w:rPr>
          <w:rFonts w:ascii="Garamond" w:hAnsi="Garamond"/>
        </w:rPr>
        <w:t xml:space="preserve">; Geiger é </w:t>
      </w:r>
      <w:proofErr w:type="spellStart"/>
      <w:r w:rsidRPr="001F1488">
        <w:rPr>
          <w:rFonts w:ascii="Garamond" w:hAnsi="Garamond"/>
        </w:rPr>
        <w:t>Aw</w:t>
      </w:r>
      <w:proofErr w:type="spellEnd"/>
      <w:r w:rsidRPr="001F1488">
        <w:rPr>
          <w:rFonts w:ascii="Garamond" w:hAnsi="Garamond"/>
        </w:rPr>
        <w:t xml:space="preserve">, com precipitação anual média de 1.421 mm. </w:t>
      </w:r>
      <w:r w:rsidRPr="001F1488">
        <w:rPr>
          <w:rFonts w:ascii="Garamond" w:hAnsi="Garamond" w:cs="Times New Roman"/>
          <w:bCs/>
        </w:rPr>
        <w:t>A temperatura variando entre 15°C a 31°C.</w:t>
      </w:r>
    </w:p>
    <w:p w14:paraId="07237AA3" w14:textId="29FF9A62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>O período de condução do experimento foi entre os meses de abril e maio de 2020. Foi separado uma área de 125 m² dividida em cinco canteiros com 25 m², contendo 50 cm de espaçamento entre linhas, com 3,0 sementes m</w:t>
      </w:r>
      <w:r w:rsidRPr="001F1488">
        <w:rPr>
          <w:rFonts w:ascii="Garamond" w:hAnsi="Garamond"/>
          <w:bCs/>
          <w:vertAlign w:val="superscript"/>
        </w:rPr>
        <w:t>-1</w:t>
      </w:r>
      <w:r w:rsidRPr="001F1488">
        <w:rPr>
          <w:rFonts w:ascii="Garamond" w:hAnsi="Garamond"/>
          <w:bCs/>
        </w:rPr>
        <w:t xml:space="preserve"> linear</w:t>
      </w:r>
      <w:r w:rsidRPr="001F1488">
        <w:rPr>
          <w:rFonts w:ascii="Garamond" w:hAnsi="Garamond"/>
          <w:bCs/>
          <w:vertAlign w:val="superscript"/>
        </w:rPr>
        <w:t>-1</w:t>
      </w:r>
      <w:r w:rsidRPr="001F1488">
        <w:rPr>
          <w:rFonts w:ascii="Garamond" w:hAnsi="Garamond"/>
          <w:bCs/>
        </w:rPr>
        <w:t xml:space="preserve">. A </w:t>
      </w:r>
      <w:bookmarkStart w:id="10" w:name="_Hlk58269689"/>
      <w:r w:rsidRPr="001F1488">
        <w:rPr>
          <w:rFonts w:ascii="Garamond" w:hAnsi="Garamond"/>
          <w:bCs/>
        </w:rPr>
        <w:t xml:space="preserve">cultivar utilizada foi o milho híbrido 2b433PW da </w:t>
      </w:r>
      <w:proofErr w:type="spellStart"/>
      <w:r w:rsidRPr="001F1488">
        <w:rPr>
          <w:rFonts w:ascii="Garamond" w:hAnsi="Garamond"/>
          <w:bCs/>
        </w:rPr>
        <w:t>Brevant</w:t>
      </w:r>
      <w:proofErr w:type="spellEnd"/>
      <w:r w:rsidRPr="001F1488">
        <w:rPr>
          <w:rFonts w:ascii="Garamond" w:hAnsi="Garamond" w:cs="Times New Roman"/>
          <w:bCs/>
        </w:rPr>
        <w:t>®</w:t>
      </w:r>
      <w:bookmarkEnd w:id="10"/>
      <w:r w:rsidRPr="001F1488">
        <w:rPr>
          <w:rFonts w:ascii="Garamond" w:hAnsi="Garamond"/>
          <w:bCs/>
        </w:rPr>
        <w:t xml:space="preserve">, o plantio foi realizado no dia 20/04/2020. </w:t>
      </w:r>
    </w:p>
    <w:p w14:paraId="7724717D" w14:textId="1BBA338C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O delineamento experimental foi o blocos inteiramente </w:t>
      </w:r>
      <w:proofErr w:type="spellStart"/>
      <w:r w:rsidRPr="001F1488">
        <w:rPr>
          <w:rFonts w:ascii="Garamond" w:hAnsi="Garamond"/>
          <w:bCs/>
        </w:rPr>
        <w:t>casualizados</w:t>
      </w:r>
      <w:proofErr w:type="spellEnd"/>
      <w:r w:rsidRPr="001F1488">
        <w:rPr>
          <w:rFonts w:ascii="Garamond" w:hAnsi="Garamond"/>
          <w:bCs/>
        </w:rPr>
        <w:t xml:space="preserve"> com quatro tratamentos e </w:t>
      </w:r>
      <w:r w:rsidRPr="001F1488">
        <w:rPr>
          <w:rFonts w:ascii="Garamond" w:hAnsi="Garamond"/>
          <w:bCs/>
        </w:rPr>
        <w:t xml:space="preserve">quatro repetições, utilizando os herbicidas para o controle do milho voluntário, sendo: T1: </w:t>
      </w:r>
      <w:bookmarkStart w:id="11" w:name="_Hlk39606218"/>
      <w:proofErr w:type="spellStart"/>
      <w:r w:rsidRPr="001F1488">
        <w:rPr>
          <w:rFonts w:ascii="Garamond" w:hAnsi="Garamond"/>
          <w:bCs/>
        </w:rPr>
        <w:t>Chlorimuron</w:t>
      </w:r>
      <w:proofErr w:type="spellEnd"/>
      <w:r w:rsidRPr="001F1488">
        <w:rPr>
          <w:rFonts w:ascii="Garamond" w:hAnsi="Garamond"/>
          <w:bCs/>
        </w:rPr>
        <w:t xml:space="preserve"> </w:t>
      </w:r>
      <w:bookmarkEnd w:id="11"/>
      <w:r w:rsidR="00F928B2" w:rsidRPr="001F1488">
        <w:rPr>
          <w:rFonts w:ascii="Garamond" w:hAnsi="Garamond"/>
          <w:bCs/>
        </w:rPr>
        <w:t>(</w:t>
      </w:r>
      <w:r w:rsidRPr="001F1488">
        <w:rPr>
          <w:rFonts w:ascii="Garamond" w:hAnsi="Garamond"/>
          <w:bCs/>
        </w:rPr>
        <w:t>0,175mg 25 m</w:t>
      </w:r>
      <w:r w:rsidRPr="001F1488">
        <w:rPr>
          <w:rFonts w:ascii="Garamond" w:hAnsi="Garamond"/>
          <w:bCs/>
          <w:vertAlign w:val="superscript"/>
        </w:rPr>
        <w:t>-</w:t>
      </w:r>
      <w:r w:rsidRPr="001F1488">
        <w:rPr>
          <w:rFonts w:ascii="Garamond" w:hAnsi="Garamond"/>
          <w:bCs/>
        </w:rPr>
        <w:t xml:space="preserve">²), pertence ao grupo químico </w:t>
      </w:r>
      <w:proofErr w:type="spellStart"/>
      <w:r w:rsidRPr="001F1488">
        <w:rPr>
          <w:rFonts w:ascii="Garamond" w:hAnsi="Garamond"/>
          <w:bCs/>
        </w:rPr>
        <w:t>sulfonilureia</w:t>
      </w:r>
      <w:proofErr w:type="spellEnd"/>
      <w:r w:rsidRPr="001F1488">
        <w:rPr>
          <w:rFonts w:ascii="Garamond" w:hAnsi="Garamond"/>
          <w:bCs/>
        </w:rPr>
        <w:t xml:space="preserve">, produto comercial </w:t>
      </w:r>
      <w:proofErr w:type="spellStart"/>
      <w:r w:rsidRPr="001F1488">
        <w:rPr>
          <w:rFonts w:ascii="Garamond" w:hAnsi="Garamond"/>
          <w:bCs/>
        </w:rPr>
        <w:t>Clorim</w:t>
      </w:r>
      <w:proofErr w:type="spellEnd"/>
      <w:r w:rsidRPr="001F1488">
        <w:rPr>
          <w:rFonts w:ascii="Garamond" w:hAnsi="Garamond" w:cs="Times New Roman"/>
          <w:bCs/>
        </w:rPr>
        <w:t>®</w:t>
      </w:r>
      <w:r w:rsidRPr="001F1488">
        <w:rPr>
          <w:rFonts w:ascii="Garamond" w:hAnsi="Garamond"/>
          <w:bCs/>
        </w:rPr>
        <w:t xml:space="preserve">; T2: </w:t>
      </w:r>
      <w:bookmarkStart w:id="12" w:name="_Hlk39606232"/>
      <w:proofErr w:type="spellStart"/>
      <w:r w:rsidRPr="001F1488">
        <w:rPr>
          <w:rFonts w:ascii="Garamond" w:hAnsi="Garamond"/>
          <w:bCs/>
        </w:rPr>
        <w:t>Diclosula</w:t>
      </w:r>
      <w:bookmarkEnd w:id="12"/>
      <w:r w:rsidRPr="001F1488">
        <w:rPr>
          <w:rFonts w:ascii="Garamond" w:hAnsi="Garamond"/>
          <w:bCs/>
        </w:rPr>
        <w:t>m</w:t>
      </w:r>
      <w:proofErr w:type="spellEnd"/>
      <w:r w:rsidRPr="001F1488">
        <w:rPr>
          <w:rFonts w:ascii="Garamond" w:hAnsi="Garamond"/>
          <w:bCs/>
        </w:rPr>
        <w:t xml:space="preserve"> (0,1mg 25m</w:t>
      </w:r>
      <w:r w:rsidRPr="001F1488">
        <w:rPr>
          <w:rFonts w:ascii="Garamond" w:hAnsi="Garamond"/>
          <w:bCs/>
          <w:vertAlign w:val="superscript"/>
        </w:rPr>
        <w:t>-</w:t>
      </w:r>
      <w:r w:rsidRPr="001F1488">
        <w:rPr>
          <w:rFonts w:ascii="Garamond" w:hAnsi="Garamond"/>
          <w:bCs/>
        </w:rPr>
        <w:t xml:space="preserve">²), pertence ao grupo químico das </w:t>
      </w:r>
      <w:proofErr w:type="spellStart"/>
      <w:r w:rsidRPr="001F1488">
        <w:rPr>
          <w:rFonts w:ascii="Garamond" w:hAnsi="Garamond"/>
          <w:bCs/>
        </w:rPr>
        <w:t>triazolopirimidima</w:t>
      </w:r>
      <w:proofErr w:type="spellEnd"/>
      <w:r w:rsidRPr="001F1488">
        <w:rPr>
          <w:rFonts w:ascii="Garamond" w:hAnsi="Garamond"/>
          <w:bCs/>
        </w:rPr>
        <w:t xml:space="preserve"> </w:t>
      </w:r>
      <w:proofErr w:type="spellStart"/>
      <w:r w:rsidRPr="001F1488">
        <w:rPr>
          <w:rFonts w:ascii="Garamond" w:hAnsi="Garamond"/>
          <w:bCs/>
        </w:rPr>
        <w:t>sulfonanilidas</w:t>
      </w:r>
      <w:proofErr w:type="spellEnd"/>
      <w:r w:rsidRPr="001F1488">
        <w:rPr>
          <w:rFonts w:ascii="Garamond" w:hAnsi="Garamond"/>
          <w:bCs/>
        </w:rPr>
        <w:t xml:space="preserve">, produto comercial </w:t>
      </w:r>
      <w:proofErr w:type="spellStart"/>
      <w:r w:rsidRPr="001F1488">
        <w:rPr>
          <w:rFonts w:ascii="Garamond" w:hAnsi="Garamond"/>
          <w:bCs/>
        </w:rPr>
        <w:t>Spider</w:t>
      </w:r>
      <w:proofErr w:type="spellEnd"/>
      <w:r w:rsidRPr="001F1488">
        <w:rPr>
          <w:rFonts w:ascii="Garamond" w:hAnsi="Garamond" w:cs="Times New Roman"/>
          <w:bCs/>
        </w:rPr>
        <w:t>®</w:t>
      </w:r>
      <w:r w:rsidRPr="001F1488">
        <w:rPr>
          <w:rFonts w:ascii="Garamond" w:hAnsi="Garamond"/>
          <w:bCs/>
        </w:rPr>
        <w:t xml:space="preserve">; T3: </w:t>
      </w:r>
      <w:bookmarkStart w:id="13" w:name="_Hlk39606711"/>
      <w:proofErr w:type="spellStart"/>
      <w:r w:rsidRPr="001F1488">
        <w:rPr>
          <w:rFonts w:ascii="Garamond" w:hAnsi="Garamond"/>
          <w:bCs/>
        </w:rPr>
        <w:t>Haloxifope</w:t>
      </w:r>
      <w:bookmarkEnd w:id="13"/>
      <w:proofErr w:type="spellEnd"/>
      <w:r w:rsidRPr="001F1488">
        <w:rPr>
          <w:rFonts w:ascii="Garamond" w:hAnsi="Garamond"/>
          <w:bCs/>
        </w:rPr>
        <w:t xml:space="preserve"> (1,5ml 25m</w:t>
      </w:r>
      <w:r w:rsidRPr="001F1488">
        <w:rPr>
          <w:rFonts w:ascii="Garamond" w:hAnsi="Garamond"/>
          <w:bCs/>
          <w:vertAlign w:val="superscript"/>
        </w:rPr>
        <w:t>-</w:t>
      </w:r>
      <w:r w:rsidRPr="001F1488">
        <w:rPr>
          <w:rFonts w:ascii="Garamond" w:hAnsi="Garamond"/>
          <w:bCs/>
        </w:rPr>
        <w:t xml:space="preserve">²), pertence ao grupo químico ácido </w:t>
      </w:r>
      <w:proofErr w:type="spellStart"/>
      <w:r w:rsidRPr="001F1488">
        <w:rPr>
          <w:rFonts w:ascii="Garamond" w:hAnsi="Garamond"/>
          <w:bCs/>
        </w:rPr>
        <w:t>ariloxifenoxipropionico</w:t>
      </w:r>
      <w:proofErr w:type="spellEnd"/>
      <w:r w:rsidRPr="001F1488">
        <w:rPr>
          <w:rFonts w:ascii="Garamond" w:hAnsi="Garamond"/>
          <w:bCs/>
        </w:rPr>
        <w:t xml:space="preserve">, produto comercial </w:t>
      </w:r>
      <w:proofErr w:type="spellStart"/>
      <w:r w:rsidRPr="001F1488">
        <w:rPr>
          <w:rFonts w:ascii="Garamond" w:hAnsi="Garamond"/>
          <w:bCs/>
        </w:rPr>
        <w:t>Verdict</w:t>
      </w:r>
      <w:proofErr w:type="spellEnd"/>
      <w:r w:rsidRPr="001F1488">
        <w:rPr>
          <w:rFonts w:ascii="Garamond" w:hAnsi="Garamond" w:cs="Times New Roman"/>
          <w:bCs/>
        </w:rPr>
        <w:t>®</w:t>
      </w:r>
      <w:r w:rsidRPr="001F1488">
        <w:rPr>
          <w:rFonts w:ascii="Garamond" w:hAnsi="Garamond"/>
          <w:bCs/>
        </w:rPr>
        <w:t xml:space="preserve">; T4: </w:t>
      </w:r>
      <w:bookmarkStart w:id="14" w:name="_Hlk39606725"/>
      <w:proofErr w:type="spellStart"/>
      <w:r w:rsidRPr="001F1488">
        <w:rPr>
          <w:rFonts w:ascii="Garamond" w:hAnsi="Garamond"/>
          <w:bCs/>
        </w:rPr>
        <w:t>Cletodim</w:t>
      </w:r>
      <w:bookmarkEnd w:id="14"/>
      <w:proofErr w:type="spellEnd"/>
      <w:r w:rsidRPr="001F1488">
        <w:rPr>
          <w:rFonts w:ascii="Garamond" w:hAnsi="Garamond"/>
          <w:bCs/>
        </w:rPr>
        <w:t xml:space="preserve"> (1,5ml 25m</w:t>
      </w:r>
      <w:r w:rsidRPr="001F1488">
        <w:rPr>
          <w:rFonts w:ascii="Garamond" w:hAnsi="Garamond"/>
          <w:bCs/>
          <w:vertAlign w:val="superscript"/>
        </w:rPr>
        <w:t>-</w:t>
      </w:r>
      <w:r w:rsidRPr="001F1488">
        <w:rPr>
          <w:rFonts w:ascii="Garamond" w:hAnsi="Garamond"/>
          <w:bCs/>
        </w:rPr>
        <w:t xml:space="preserve">²) pertence ao grupo químico oxima </w:t>
      </w:r>
      <w:proofErr w:type="spellStart"/>
      <w:r w:rsidRPr="001F1488">
        <w:rPr>
          <w:rFonts w:ascii="Garamond" w:hAnsi="Garamond"/>
          <w:bCs/>
        </w:rPr>
        <w:t>ciclohexanodiona</w:t>
      </w:r>
      <w:proofErr w:type="spellEnd"/>
      <w:r w:rsidRPr="001F1488">
        <w:rPr>
          <w:rFonts w:ascii="Garamond" w:hAnsi="Garamond"/>
          <w:bCs/>
        </w:rPr>
        <w:t xml:space="preserve">, produto comercial </w:t>
      </w:r>
      <w:proofErr w:type="spellStart"/>
      <w:r w:rsidRPr="001F1488">
        <w:rPr>
          <w:rFonts w:ascii="Garamond" w:hAnsi="Garamond"/>
          <w:bCs/>
        </w:rPr>
        <w:t>Select</w:t>
      </w:r>
      <w:proofErr w:type="spellEnd"/>
      <w:r w:rsidRPr="001F1488">
        <w:rPr>
          <w:rFonts w:ascii="Garamond" w:hAnsi="Garamond" w:cs="Times New Roman"/>
          <w:bCs/>
        </w:rPr>
        <w:t>®</w:t>
      </w:r>
      <w:r w:rsidRPr="001F1488">
        <w:rPr>
          <w:rFonts w:ascii="Garamond" w:hAnsi="Garamond"/>
          <w:bCs/>
        </w:rPr>
        <w:t xml:space="preserve">: T5: Testemunha sem aplicação de herbicida (25m²). A dosagem dos herbicidas por ha são: </w:t>
      </w:r>
      <w:proofErr w:type="spellStart"/>
      <w:r w:rsidRPr="001F1488">
        <w:rPr>
          <w:rFonts w:ascii="Garamond" w:hAnsi="Garamond"/>
          <w:bCs/>
        </w:rPr>
        <w:t>Chlorimuron</w:t>
      </w:r>
      <w:proofErr w:type="spellEnd"/>
      <w:r w:rsidRPr="001F1488">
        <w:rPr>
          <w:rFonts w:ascii="Garamond" w:hAnsi="Garamond"/>
          <w:bCs/>
        </w:rPr>
        <w:t xml:space="preserve"> (70 g ha</w:t>
      </w:r>
      <w:r w:rsidRPr="001F1488">
        <w:rPr>
          <w:rFonts w:ascii="Garamond" w:hAnsi="Garamond"/>
          <w:bCs/>
          <w:vertAlign w:val="superscript"/>
        </w:rPr>
        <w:t>-1</w:t>
      </w:r>
      <w:r w:rsidRPr="001F1488">
        <w:rPr>
          <w:rFonts w:ascii="Garamond" w:hAnsi="Garamond"/>
          <w:bCs/>
        </w:rPr>
        <w:t xml:space="preserve">),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 (40 g ha</w:t>
      </w:r>
      <w:r w:rsidRPr="001F1488">
        <w:rPr>
          <w:rFonts w:ascii="Garamond" w:hAnsi="Garamond"/>
          <w:bCs/>
          <w:vertAlign w:val="superscript"/>
        </w:rPr>
        <w:t>-1</w:t>
      </w:r>
      <w:r w:rsidRPr="001F1488">
        <w:rPr>
          <w:rFonts w:ascii="Garamond" w:hAnsi="Garamond"/>
          <w:bCs/>
        </w:rPr>
        <w:t xml:space="preserve">), </w:t>
      </w:r>
      <w:proofErr w:type="spellStart"/>
      <w:r w:rsidRPr="001F1488">
        <w:rPr>
          <w:rFonts w:ascii="Garamond" w:hAnsi="Garamond"/>
          <w:bCs/>
        </w:rPr>
        <w:t>Haloxifope</w:t>
      </w:r>
      <w:proofErr w:type="spellEnd"/>
      <w:r w:rsidRPr="001F1488">
        <w:rPr>
          <w:rFonts w:ascii="Garamond" w:hAnsi="Garamond"/>
          <w:bCs/>
        </w:rPr>
        <w:t xml:space="preserve"> (600 ml </w:t>
      </w:r>
      <w:proofErr w:type="spellStart"/>
      <w:r w:rsidRPr="001F1488">
        <w:rPr>
          <w:rFonts w:ascii="Garamond" w:hAnsi="Garamond"/>
          <w:bCs/>
        </w:rPr>
        <w:t>ha</w:t>
      </w:r>
      <w:proofErr w:type="spellEnd"/>
      <w:r w:rsidRPr="001F1488">
        <w:rPr>
          <w:rFonts w:ascii="Garamond" w:hAnsi="Garamond"/>
          <w:bCs/>
          <w:vertAlign w:val="superscript"/>
        </w:rPr>
        <w:t>-1</w:t>
      </w:r>
      <w:r w:rsidRPr="001F1488">
        <w:rPr>
          <w:rFonts w:ascii="Garamond" w:hAnsi="Garamond"/>
          <w:bCs/>
        </w:rPr>
        <w:t xml:space="preserve">) e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 (600 ml </w:t>
      </w:r>
      <w:proofErr w:type="spellStart"/>
      <w:r w:rsidRPr="001F1488">
        <w:rPr>
          <w:rFonts w:ascii="Garamond" w:hAnsi="Garamond"/>
          <w:bCs/>
        </w:rPr>
        <w:t>ha</w:t>
      </w:r>
      <w:proofErr w:type="spellEnd"/>
      <w:r w:rsidRPr="001F1488">
        <w:rPr>
          <w:rFonts w:ascii="Garamond" w:hAnsi="Garamond"/>
          <w:bCs/>
          <w:vertAlign w:val="superscript"/>
        </w:rPr>
        <w:t>-1</w:t>
      </w:r>
      <w:r w:rsidRPr="001F1488">
        <w:rPr>
          <w:rFonts w:ascii="Garamond" w:hAnsi="Garamond"/>
          <w:bCs/>
        </w:rPr>
        <w:t>).</w:t>
      </w:r>
    </w:p>
    <w:p w14:paraId="42A17D8E" w14:textId="46C74857" w:rsidR="002C1523" w:rsidRPr="001F1488" w:rsidRDefault="002C1523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No momento da aplicação a temperatura ambiental foi de 22°C e umidade relativa de 80%. Os herbicidas pré-emergentes, </w:t>
      </w:r>
      <w:proofErr w:type="spellStart"/>
      <w:r w:rsidRPr="001F1488">
        <w:rPr>
          <w:rFonts w:ascii="Garamond" w:hAnsi="Garamond"/>
          <w:bCs/>
        </w:rPr>
        <w:t>chlorimuron</w:t>
      </w:r>
      <w:proofErr w:type="spellEnd"/>
      <w:r w:rsidRPr="001F1488">
        <w:rPr>
          <w:rFonts w:ascii="Garamond" w:hAnsi="Garamond"/>
          <w:bCs/>
        </w:rPr>
        <w:t xml:space="preserve"> e</w:t>
      </w:r>
      <w:r w:rsidRPr="001F1488">
        <w:rPr>
          <w:rFonts w:ascii="Garamond" w:hAnsi="Garamond"/>
        </w:rPr>
        <w:t xml:space="preserve">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, foram aplicados três dias após o plantio com a função de atuar diretamente nas sementes e não permitir a germinação. Os pós-emergentes,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e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, foram aplicados no estádio vegetativo V6, atuando na enzima </w:t>
      </w:r>
      <w:proofErr w:type="spellStart"/>
      <w:r w:rsidRPr="001F1488">
        <w:rPr>
          <w:rFonts w:ascii="Garamond" w:hAnsi="Garamond"/>
          <w:bCs/>
        </w:rPr>
        <w:t>ACCase</w:t>
      </w:r>
      <w:proofErr w:type="spellEnd"/>
      <w:r w:rsidRPr="001F1488">
        <w:rPr>
          <w:rFonts w:ascii="Garamond" w:hAnsi="Garamond"/>
          <w:bCs/>
        </w:rPr>
        <w:t>. Os tratamentos foram aplicados com pulverizador</w:t>
      </w:r>
      <w:r w:rsidR="001F1488">
        <w:rPr>
          <w:rFonts w:ascii="Garamond" w:hAnsi="Garamond"/>
          <w:bCs/>
        </w:rPr>
        <w:t xml:space="preserve"> costal manual de 20 L</w:t>
      </w:r>
      <w:r w:rsidRPr="001F1488">
        <w:rPr>
          <w:rFonts w:ascii="Garamond" w:hAnsi="Garamond"/>
          <w:bCs/>
        </w:rPr>
        <w:t>, bico leque com vazão de 0,33 a 0,46 l min</w:t>
      </w:r>
      <w:r w:rsidRPr="001F1488">
        <w:rPr>
          <w:rFonts w:ascii="Garamond" w:hAnsi="Garamond"/>
          <w:bCs/>
          <w:vertAlign w:val="superscript"/>
        </w:rPr>
        <w:t>-1</w:t>
      </w:r>
      <w:r w:rsidRPr="001F1488">
        <w:rPr>
          <w:rFonts w:ascii="Garamond" w:hAnsi="Garamond"/>
          <w:bCs/>
        </w:rPr>
        <w:t xml:space="preserve"> e com um volume de calda de 250ml para todos os herbicidas, a altura de aplicação foi de 30 cm do alvo. </w:t>
      </w:r>
    </w:p>
    <w:p w14:paraId="485A863B" w14:textId="77777777" w:rsidR="002C1523" w:rsidRPr="001F1488" w:rsidRDefault="002C1523" w:rsidP="00FC01A7">
      <w:pPr>
        <w:pStyle w:val="SemEspaamento"/>
        <w:spacing w:line="360" w:lineRule="auto"/>
        <w:ind w:firstLine="567"/>
        <w:rPr>
          <w:rFonts w:ascii="Garamond" w:hAnsi="Garamond"/>
          <w:b/>
          <w:bCs/>
          <w:sz w:val="22"/>
          <w:szCs w:val="22"/>
        </w:rPr>
      </w:pPr>
      <w:r w:rsidRPr="001F1488">
        <w:rPr>
          <w:rFonts w:ascii="Garamond" w:hAnsi="Garamond"/>
          <w:bCs/>
          <w:sz w:val="22"/>
          <w:szCs w:val="22"/>
        </w:rPr>
        <w:t xml:space="preserve">Para os efeitos dos tratamentos sobre o milho voluntário RR®, as análises seguiram o método de atribuição de notas percentuais de controle em relação à testemunha que não há aplicação. A escala de notas foi de zero (0%) à cem (100%) onde 0% representa a ausência da </w:t>
      </w:r>
      <w:proofErr w:type="spellStart"/>
      <w:r w:rsidRPr="001F1488">
        <w:rPr>
          <w:rFonts w:ascii="Garamond" w:hAnsi="Garamond"/>
          <w:bCs/>
          <w:sz w:val="22"/>
          <w:szCs w:val="22"/>
        </w:rPr>
        <w:t>fitotoxicidade</w:t>
      </w:r>
      <w:proofErr w:type="spellEnd"/>
      <w:r w:rsidRPr="001F1488">
        <w:rPr>
          <w:rFonts w:ascii="Garamond" w:hAnsi="Garamond"/>
          <w:bCs/>
          <w:sz w:val="22"/>
          <w:szCs w:val="22"/>
        </w:rPr>
        <w:t xml:space="preserve"> e 100% representa a morte das plantas (BIANCHI, 2009), tomando-</w:t>
      </w:r>
      <w:r w:rsidRPr="001F1488">
        <w:rPr>
          <w:rFonts w:ascii="Garamond" w:hAnsi="Garamond"/>
          <w:sz w:val="22"/>
          <w:szCs w:val="22"/>
        </w:rPr>
        <w:t xml:space="preserve">se como base a escala EWRC, modificada por Frans (1972) (Tabela 1). </w:t>
      </w:r>
      <w:r w:rsidRPr="001F1488">
        <w:rPr>
          <w:rFonts w:ascii="Garamond" w:hAnsi="Garamond"/>
          <w:bCs/>
          <w:sz w:val="22"/>
          <w:szCs w:val="22"/>
        </w:rPr>
        <w:t>Assumiu-se controle satisfatório com médias percentuais acima de 80%.</w:t>
      </w:r>
    </w:p>
    <w:p w14:paraId="41C7D1C0" w14:textId="77777777" w:rsidR="00F92DA0" w:rsidRPr="001F1488" w:rsidRDefault="00F92DA0" w:rsidP="00FC01A7">
      <w:pPr>
        <w:spacing w:after="0" w:line="360" w:lineRule="auto"/>
        <w:jc w:val="both"/>
        <w:rPr>
          <w:rFonts w:ascii="Garamond" w:eastAsia="Calibri" w:hAnsi="Garamond" w:cs="Times New Roman"/>
          <w:bCs/>
          <w:lang w:val="en-US"/>
        </w:rPr>
      </w:pPr>
    </w:p>
    <w:p w14:paraId="773C8C5F" w14:textId="432D68D1" w:rsidR="002C1523" w:rsidRPr="001F1488" w:rsidRDefault="002C1523" w:rsidP="00B209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  <w:r w:rsidRPr="001F1488">
        <w:rPr>
          <w:rFonts w:ascii="Garamond" w:hAnsi="Garamond" w:cs="Times New Roman"/>
          <w:b/>
        </w:rPr>
        <w:lastRenderedPageBreak/>
        <w:t>T</w:t>
      </w:r>
      <w:r w:rsidR="00520C75" w:rsidRPr="001F1488">
        <w:rPr>
          <w:rFonts w:ascii="Garamond" w:hAnsi="Garamond" w:cs="Times New Roman"/>
          <w:b/>
        </w:rPr>
        <w:t>abela 1.</w:t>
      </w:r>
      <w:r w:rsidRPr="001F1488">
        <w:rPr>
          <w:rFonts w:ascii="Garamond" w:hAnsi="Garamond" w:cs="Times New Roman"/>
        </w:rPr>
        <w:t xml:space="preserve"> Escala 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 w:cs="Times New Roman"/>
        </w:rPr>
        <w:t xml:space="preserve"> utilizada para avaliação do efeito do herbicida glifosato associado a adjuvante no controle de plantas daninhas</w:t>
      </w:r>
    </w:p>
    <w:p w14:paraId="07BFB9BF" w14:textId="4436C06C" w:rsidR="002C1523" w:rsidRPr="001F1488" w:rsidRDefault="005154F5" w:rsidP="00B209A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 xml:space="preserve">Escala           </w:t>
      </w:r>
      <w:r w:rsidR="002C1523" w:rsidRPr="001F1488">
        <w:rPr>
          <w:rFonts w:ascii="Garamond" w:hAnsi="Garamond"/>
        </w:rPr>
        <w:t>T</w:t>
      </w:r>
      <w:r w:rsidRPr="001F1488">
        <w:rPr>
          <w:rFonts w:ascii="Garamond" w:hAnsi="Garamond"/>
        </w:rPr>
        <w:t xml:space="preserve">oxidade  </w:t>
      </w:r>
      <w:r w:rsidR="002C1523" w:rsidRPr="001F1488">
        <w:rPr>
          <w:rFonts w:ascii="Garamond" w:hAnsi="Garamond"/>
        </w:rPr>
        <w:t xml:space="preserve"> </w:t>
      </w:r>
      <w:r w:rsidRPr="001F1488">
        <w:rPr>
          <w:rFonts w:ascii="Garamond" w:hAnsi="Garamond"/>
        </w:rPr>
        <w:t xml:space="preserve">     </w:t>
      </w:r>
      <w:r w:rsidR="002C1523" w:rsidRPr="001F1488">
        <w:rPr>
          <w:rFonts w:ascii="Garamond" w:hAnsi="Garamond"/>
        </w:rPr>
        <w:t xml:space="preserve"> </w:t>
      </w:r>
      <w:r w:rsidRPr="001F1488">
        <w:rPr>
          <w:rFonts w:ascii="Garamond" w:hAnsi="Garamond"/>
        </w:rPr>
        <w:t>Característica da toxidade</w:t>
      </w:r>
    </w:p>
    <w:p w14:paraId="61457B33" w14:textId="4DFBB8B9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 xml:space="preserve">1                </w:t>
      </w:r>
      <w:r w:rsidR="005154F5" w:rsidRPr="001F1488">
        <w:rPr>
          <w:rFonts w:ascii="Garamond" w:hAnsi="Garamond"/>
        </w:rPr>
        <w:t xml:space="preserve">        </w:t>
      </w:r>
      <w:r w:rsidRPr="001F1488">
        <w:rPr>
          <w:rFonts w:ascii="Garamond" w:hAnsi="Garamond"/>
        </w:rPr>
        <w:t xml:space="preserve">0                </w:t>
      </w:r>
      <w:r w:rsidR="005154F5" w:rsidRPr="001F1488">
        <w:rPr>
          <w:rFonts w:ascii="Garamond" w:hAnsi="Garamond"/>
        </w:rPr>
        <w:t xml:space="preserve">   </w:t>
      </w:r>
      <w:r w:rsidRPr="001F1488">
        <w:rPr>
          <w:rFonts w:ascii="Garamond" w:hAnsi="Garamond"/>
        </w:rPr>
        <w:t>Nula (Testemunha)</w:t>
      </w:r>
    </w:p>
    <w:p w14:paraId="419430D0" w14:textId="262916B4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 xml:space="preserve">2          </w:t>
      </w:r>
      <w:r w:rsidR="005154F5" w:rsidRPr="001F1488">
        <w:rPr>
          <w:rFonts w:ascii="Garamond" w:hAnsi="Garamond"/>
        </w:rPr>
        <w:t xml:space="preserve">     </w:t>
      </w:r>
      <w:r w:rsidRPr="001F1488">
        <w:rPr>
          <w:rFonts w:ascii="Garamond" w:hAnsi="Garamond"/>
        </w:rPr>
        <w:t xml:space="preserve">   1,0 – 3,5 </w:t>
      </w:r>
      <w:r w:rsidR="005154F5" w:rsidRPr="001F1488">
        <w:rPr>
          <w:rFonts w:ascii="Garamond" w:hAnsi="Garamond"/>
        </w:rPr>
        <w:t xml:space="preserve">                 </w:t>
      </w:r>
      <w:r w:rsidRPr="001F1488">
        <w:rPr>
          <w:rFonts w:ascii="Garamond" w:hAnsi="Garamond"/>
        </w:rPr>
        <w:t>Muito leve</w:t>
      </w:r>
    </w:p>
    <w:p w14:paraId="6D217ADE" w14:textId="156B6C9C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>3</w:t>
      </w:r>
      <w:r w:rsidR="005154F5" w:rsidRPr="001F1488">
        <w:rPr>
          <w:rFonts w:ascii="Garamond" w:hAnsi="Garamond"/>
        </w:rPr>
        <w:t xml:space="preserve">                  </w:t>
      </w:r>
      <w:r w:rsidRPr="001F1488">
        <w:rPr>
          <w:rFonts w:ascii="Garamond" w:hAnsi="Garamond"/>
        </w:rPr>
        <w:t>3,5 – 7,0</w:t>
      </w:r>
      <w:r w:rsidR="005154F5" w:rsidRPr="001F1488">
        <w:rPr>
          <w:rFonts w:ascii="Garamond" w:hAnsi="Garamond"/>
        </w:rPr>
        <w:t xml:space="preserve">                      </w:t>
      </w:r>
      <w:r w:rsidRPr="001F1488">
        <w:rPr>
          <w:rFonts w:ascii="Garamond" w:hAnsi="Garamond"/>
        </w:rPr>
        <w:t>Leve</w:t>
      </w:r>
    </w:p>
    <w:p w14:paraId="387398A6" w14:textId="25F46402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>4</w:t>
      </w:r>
      <w:r w:rsidR="005154F5" w:rsidRPr="001F1488">
        <w:rPr>
          <w:rFonts w:ascii="Garamond" w:hAnsi="Garamond"/>
        </w:rPr>
        <w:t xml:space="preserve">               </w:t>
      </w:r>
      <w:r w:rsidRPr="001F1488">
        <w:rPr>
          <w:rFonts w:ascii="Garamond" w:hAnsi="Garamond"/>
        </w:rPr>
        <w:t xml:space="preserve">    7,0 – 12,5</w:t>
      </w:r>
      <w:r w:rsidR="005154F5" w:rsidRPr="001F1488">
        <w:rPr>
          <w:rFonts w:ascii="Garamond" w:hAnsi="Garamond"/>
        </w:rPr>
        <w:t xml:space="preserve">   </w:t>
      </w:r>
      <w:r w:rsidRPr="001F1488">
        <w:rPr>
          <w:rFonts w:ascii="Garamond" w:hAnsi="Garamond"/>
        </w:rPr>
        <w:t xml:space="preserve">  Nenhum reflexo da produção</w:t>
      </w:r>
    </w:p>
    <w:p w14:paraId="45B3F7D7" w14:textId="10A9BC35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>5</w:t>
      </w:r>
      <w:r w:rsidR="005154F5" w:rsidRPr="001F1488">
        <w:rPr>
          <w:rFonts w:ascii="Garamond" w:hAnsi="Garamond"/>
        </w:rPr>
        <w:t xml:space="preserve">                </w:t>
      </w:r>
      <w:r w:rsidRPr="001F1488">
        <w:rPr>
          <w:rFonts w:ascii="Garamond" w:hAnsi="Garamond"/>
        </w:rPr>
        <w:t xml:space="preserve">12,5 – 20,0 </w:t>
      </w:r>
      <w:r w:rsidR="005154F5" w:rsidRPr="001F1488">
        <w:rPr>
          <w:rFonts w:ascii="Garamond" w:hAnsi="Garamond"/>
        </w:rPr>
        <w:t xml:space="preserve">                  </w:t>
      </w:r>
      <w:r w:rsidRPr="001F1488">
        <w:rPr>
          <w:rFonts w:ascii="Garamond" w:hAnsi="Garamond"/>
        </w:rPr>
        <w:t xml:space="preserve"> Média</w:t>
      </w:r>
    </w:p>
    <w:p w14:paraId="2437BD49" w14:textId="0A21E67A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 xml:space="preserve">6                20,0 – 30,0             </w:t>
      </w:r>
      <w:r w:rsidR="005154F5" w:rsidRPr="001F1488">
        <w:rPr>
          <w:rFonts w:ascii="Garamond" w:hAnsi="Garamond"/>
        </w:rPr>
        <w:t xml:space="preserve">  Quase forte</w:t>
      </w:r>
    </w:p>
    <w:p w14:paraId="09656C9E" w14:textId="51937AA9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>7</w:t>
      </w:r>
      <w:r w:rsidR="005154F5" w:rsidRPr="001F1488">
        <w:rPr>
          <w:rFonts w:ascii="Garamond" w:hAnsi="Garamond"/>
        </w:rPr>
        <w:t xml:space="preserve">                </w:t>
      </w:r>
      <w:r w:rsidRPr="001F1488">
        <w:rPr>
          <w:rFonts w:ascii="Garamond" w:hAnsi="Garamond"/>
        </w:rPr>
        <w:t>30,0 – 50,0</w:t>
      </w:r>
      <w:r w:rsidR="005154F5" w:rsidRPr="001F1488">
        <w:rPr>
          <w:rFonts w:ascii="Garamond" w:hAnsi="Garamond"/>
        </w:rPr>
        <w:t xml:space="preserve">                    </w:t>
      </w:r>
      <w:r w:rsidRPr="001F1488">
        <w:rPr>
          <w:rFonts w:ascii="Garamond" w:hAnsi="Garamond"/>
        </w:rPr>
        <w:t>Forte</w:t>
      </w:r>
    </w:p>
    <w:p w14:paraId="1304ADBC" w14:textId="76BA4655" w:rsidR="002C1523" w:rsidRPr="001F1488" w:rsidRDefault="002C1523" w:rsidP="00B209A9">
      <w:pP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>8</w:t>
      </w:r>
      <w:r w:rsidR="005154F5" w:rsidRPr="001F1488">
        <w:rPr>
          <w:rFonts w:ascii="Garamond" w:hAnsi="Garamond"/>
        </w:rPr>
        <w:t xml:space="preserve">                </w:t>
      </w:r>
      <w:r w:rsidRPr="001F1488">
        <w:rPr>
          <w:rFonts w:ascii="Garamond" w:hAnsi="Garamond"/>
        </w:rPr>
        <w:t>50,0 – 99</w:t>
      </w:r>
      <w:r w:rsidR="005154F5" w:rsidRPr="001F1488">
        <w:rPr>
          <w:rFonts w:ascii="Garamond" w:hAnsi="Garamond"/>
        </w:rPr>
        <w:t xml:space="preserve">                  </w:t>
      </w:r>
      <w:r w:rsidRPr="001F1488">
        <w:rPr>
          <w:rFonts w:ascii="Garamond" w:hAnsi="Garamond"/>
        </w:rPr>
        <w:t>Muito forte</w:t>
      </w:r>
    </w:p>
    <w:p w14:paraId="3589D1F3" w14:textId="21D582E8" w:rsidR="002C1523" w:rsidRPr="001F1488" w:rsidRDefault="002C1523" w:rsidP="00B209A9">
      <w:pPr>
        <w:pBdr>
          <w:bottom w:val="single" w:sz="4" w:space="1" w:color="auto"/>
        </w:pBdr>
        <w:spacing w:after="0" w:line="24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</w:rPr>
        <w:t>9</w:t>
      </w:r>
      <w:r w:rsidR="005154F5" w:rsidRPr="001F1488">
        <w:rPr>
          <w:rFonts w:ascii="Garamond" w:hAnsi="Garamond"/>
        </w:rPr>
        <w:t xml:space="preserve">                      </w:t>
      </w:r>
      <w:r w:rsidRPr="001F1488">
        <w:rPr>
          <w:rFonts w:ascii="Garamond" w:hAnsi="Garamond"/>
        </w:rPr>
        <w:t xml:space="preserve">100                       </w:t>
      </w:r>
      <w:r w:rsidR="005154F5" w:rsidRPr="001F1488">
        <w:rPr>
          <w:rFonts w:ascii="Garamond" w:hAnsi="Garamond"/>
        </w:rPr>
        <w:t xml:space="preserve">  </w:t>
      </w:r>
      <w:r w:rsidRPr="001F1488">
        <w:rPr>
          <w:rFonts w:ascii="Garamond" w:hAnsi="Garamond"/>
        </w:rPr>
        <w:t>Morte</w:t>
      </w:r>
    </w:p>
    <w:p w14:paraId="03482A27" w14:textId="77777777" w:rsidR="002C1523" w:rsidRPr="001F1488" w:rsidRDefault="002C1523" w:rsidP="00B209A9">
      <w:pPr>
        <w:spacing w:after="0" w:line="240" w:lineRule="auto"/>
        <w:rPr>
          <w:rFonts w:ascii="Garamond" w:hAnsi="Garamond"/>
          <w:b/>
        </w:rPr>
      </w:pPr>
      <w:r w:rsidRPr="001F1488">
        <w:rPr>
          <w:rFonts w:ascii="Garamond" w:hAnsi="Garamond"/>
        </w:rPr>
        <w:t>Fonte: EWRC (</w:t>
      </w:r>
      <w:proofErr w:type="spellStart"/>
      <w:r w:rsidRPr="001F1488">
        <w:rPr>
          <w:rFonts w:ascii="Garamond" w:hAnsi="Garamond"/>
        </w:rPr>
        <w:t>EuropeanWeed</w:t>
      </w:r>
      <w:proofErr w:type="spellEnd"/>
      <w:r w:rsidRPr="001F1488">
        <w:rPr>
          <w:rFonts w:ascii="Garamond" w:hAnsi="Garamond"/>
        </w:rPr>
        <w:t xml:space="preserve"> </w:t>
      </w:r>
      <w:proofErr w:type="spellStart"/>
      <w:r w:rsidRPr="001F1488">
        <w:rPr>
          <w:rFonts w:ascii="Garamond" w:hAnsi="Garamond"/>
        </w:rPr>
        <w:t>Reserach</w:t>
      </w:r>
      <w:proofErr w:type="spellEnd"/>
      <w:r w:rsidRPr="001F1488">
        <w:rPr>
          <w:rFonts w:ascii="Garamond" w:hAnsi="Garamond"/>
        </w:rPr>
        <w:t xml:space="preserve"> e </w:t>
      </w:r>
      <w:proofErr w:type="spellStart"/>
      <w:r w:rsidRPr="001F1488">
        <w:rPr>
          <w:rFonts w:ascii="Garamond" w:hAnsi="Garamond"/>
        </w:rPr>
        <w:t>Council</w:t>
      </w:r>
      <w:proofErr w:type="spellEnd"/>
      <w:r w:rsidRPr="001F1488">
        <w:rPr>
          <w:rFonts w:ascii="Garamond" w:hAnsi="Garamond"/>
        </w:rPr>
        <w:t>), modificado por Frans (1972).</w:t>
      </w:r>
    </w:p>
    <w:p w14:paraId="46098B94" w14:textId="77777777" w:rsidR="002C1523" w:rsidRPr="001F1488" w:rsidRDefault="002C1523" w:rsidP="00FC01A7">
      <w:pPr>
        <w:spacing w:after="0" w:line="360" w:lineRule="auto"/>
        <w:jc w:val="both"/>
        <w:rPr>
          <w:rFonts w:ascii="Garamond" w:eastAsia="Calibri" w:hAnsi="Garamond" w:cs="Times New Roman"/>
          <w:bCs/>
          <w:lang w:val="en-US"/>
        </w:rPr>
      </w:pPr>
    </w:p>
    <w:p w14:paraId="5AD423F1" w14:textId="1773AC72" w:rsidR="005154F5" w:rsidRPr="001F1488" w:rsidRDefault="005154F5" w:rsidP="00FC01A7">
      <w:pPr>
        <w:spacing w:after="0" w:line="360" w:lineRule="auto"/>
        <w:ind w:firstLine="567"/>
        <w:jc w:val="both"/>
        <w:rPr>
          <w:rFonts w:ascii="Garamond" w:eastAsia="Calibri" w:hAnsi="Garamond" w:cs="Times New Roman"/>
          <w:bCs/>
          <w:lang w:val="en-US"/>
        </w:rPr>
      </w:pPr>
      <w:r w:rsidRPr="001F1488">
        <w:rPr>
          <w:rFonts w:ascii="Garamond" w:hAnsi="Garamond" w:cs="Times New Roman"/>
          <w:bCs/>
        </w:rPr>
        <w:t>Para melhor interpretação dos resultados, foram definidos níveis de controle (conceitos) em função de faixas de eficiência de controle, utilizando a escala proposta pela Asociación Latinoamericana de Malezas - ALAM (1974), com algumas modificações: de 91 a 100%, controle excelente; de 81 a 90%, controle bom; de 71 a 80%, controle razoável; de 51 a 70%, controle insuficiente; e, quando inferior a 50%, controle ruim.</w:t>
      </w:r>
    </w:p>
    <w:p w14:paraId="649BC2E9" w14:textId="77777777" w:rsidR="002C1523" w:rsidRPr="001F1488" w:rsidRDefault="002C1523" w:rsidP="00FC01A7">
      <w:pPr>
        <w:spacing w:after="0" w:line="360" w:lineRule="auto"/>
        <w:jc w:val="both"/>
        <w:rPr>
          <w:rFonts w:ascii="Garamond" w:eastAsia="Calibri" w:hAnsi="Garamond" w:cs="Times New Roman"/>
          <w:bCs/>
          <w:lang w:val="en-US"/>
        </w:rPr>
      </w:pPr>
    </w:p>
    <w:p w14:paraId="29C68087" w14:textId="66766752" w:rsidR="00F92DA0" w:rsidRPr="001F1488" w:rsidRDefault="00520C75" w:rsidP="00FC01A7">
      <w:pPr>
        <w:spacing w:after="0" w:line="360" w:lineRule="auto"/>
        <w:jc w:val="both"/>
        <w:rPr>
          <w:rFonts w:ascii="Garamond" w:eastAsia="Calibri" w:hAnsi="Garamond" w:cs="Times New Roman"/>
          <w:b/>
          <w:bCs/>
          <w:lang w:val="en-US"/>
        </w:rPr>
      </w:pPr>
      <w:r w:rsidRPr="001F1488">
        <w:rPr>
          <w:rFonts w:ascii="Garamond" w:eastAsia="Calibri" w:hAnsi="Garamond" w:cs="Times New Roman"/>
          <w:b/>
          <w:bCs/>
          <w:lang w:val="en-US"/>
        </w:rPr>
        <w:t>RESULTADOS</w:t>
      </w:r>
    </w:p>
    <w:p w14:paraId="33B82A28" w14:textId="77777777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A 1º avaliação aconteceu no dia 30 de abril de 2020, com os herbicidas pré-emergentes </w:t>
      </w:r>
      <w:proofErr w:type="spellStart"/>
      <w:r w:rsidRPr="001F1488">
        <w:rPr>
          <w:rFonts w:ascii="Garamond" w:hAnsi="Garamond"/>
          <w:bCs/>
        </w:rPr>
        <w:t>chlorimuron</w:t>
      </w:r>
      <w:proofErr w:type="spellEnd"/>
      <w:r w:rsidRPr="001F1488">
        <w:rPr>
          <w:rFonts w:ascii="Garamond" w:hAnsi="Garamond"/>
          <w:bCs/>
        </w:rPr>
        <w:t xml:space="preserve"> e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, após sete dias de aplicação dos produtos. Já a avaliação dos pós-emergentes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e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, foi feita no dia 18 de maio de 2020, também com sete dias de aplicação dos produtos. </w:t>
      </w:r>
    </w:p>
    <w:p w14:paraId="5249CD77" w14:textId="77777777" w:rsidR="00FC01A7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Cs/>
          <w:spacing w:val="-2"/>
        </w:rPr>
      </w:pPr>
      <w:r w:rsidRPr="001F1488">
        <w:rPr>
          <w:rFonts w:ascii="Garamond" w:hAnsi="Garamond"/>
          <w:bCs/>
          <w:spacing w:val="-2"/>
        </w:rPr>
        <w:t xml:space="preserve">A área com aplicação de </w:t>
      </w:r>
      <w:proofErr w:type="spellStart"/>
      <w:r w:rsidRPr="001F1488">
        <w:rPr>
          <w:rFonts w:ascii="Garamond" w:hAnsi="Garamond"/>
          <w:bCs/>
          <w:spacing w:val="-2"/>
        </w:rPr>
        <w:t>chlorimuron</w:t>
      </w:r>
      <w:proofErr w:type="spellEnd"/>
      <w:r w:rsidRPr="001F1488">
        <w:rPr>
          <w:rFonts w:ascii="Garamond" w:hAnsi="Garamond"/>
          <w:bCs/>
          <w:spacing w:val="-2"/>
        </w:rPr>
        <w:t xml:space="preserve"> apresentou uma grande desidratação nas bordas das folhas, com uma avaliação de dano leve na escala </w:t>
      </w:r>
      <w:r w:rsidRPr="001F1488">
        <w:rPr>
          <w:rFonts w:ascii="Garamond" w:hAnsi="Garamond" w:cs="Times New Roman"/>
          <w:spacing w:val="-2"/>
        </w:rPr>
        <w:t xml:space="preserve">visual de </w:t>
      </w:r>
      <w:proofErr w:type="spellStart"/>
      <w:r w:rsidRPr="001F1488">
        <w:rPr>
          <w:rFonts w:ascii="Garamond" w:hAnsi="Garamond" w:cs="Times New Roman"/>
          <w:spacing w:val="-2"/>
        </w:rPr>
        <w:t>fitotoxicidade</w:t>
      </w:r>
      <w:proofErr w:type="spellEnd"/>
      <w:r w:rsidRPr="001F1488">
        <w:rPr>
          <w:rFonts w:ascii="Garamond" w:hAnsi="Garamond" w:cs="Times New Roman"/>
          <w:spacing w:val="-2"/>
        </w:rPr>
        <w:t xml:space="preserve"> como </w:t>
      </w:r>
      <w:r w:rsidRPr="001F1488">
        <w:rPr>
          <w:rFonts w:ascii="Garamond" w:hAnsi="Garamond"/>
          <w:bCs/>
          <w:spacing w:val="-2"/>
        </w:rPr>
        <w:t xml:space="preserve">3. A área com aplicação de </w:t>
      </w:r>
      <w:proofErr w:type="spellStart"/>
      <w:r w:rsidRPr="001F1488">
        <w:rPr>
          <w:rFonts w:ascii="Garamond" w:hAnsi="Garamond"/>
          <w:bCs/>
          <w:spacing w:val="-2"/>
        </w:rPr>
        <w:t>diclosulam</w:t>
      </w:r>
      <w:proofErr w:type="spellEnd"/>
      <w:r w:rsidRPr="001F1488">
        <w:rPr>
          <w:rFonts w:ascii="Garamond" w:hAnsi="Garamond"/>
          <w:bCs/>
          <w:spacing w:val="-2"/>
        </w:rPr>
        <w:t xml:space="preserve"> apresentou um sintoma leve, expresso por desidratação na borda das folhas, onde foi avaliada com dano muito leve na escala </w:t>
      </w:r>
      <w:r w:rsidRPr="001F1488">
        <w:rPr>
          <w:rFonts w:ascii="Garamond" w:hAnsi="Garamond" w:cs="Times New Roman"/>
          <w:spacing w:val="-2"/>
        </w:rPr>
        <w:t xml:space="preserve">visual de </w:t>
      </w:r>
      <w:proofErr w:type="spellStart"/>
      <w:r w:rsidRPr="001F1488">
        <w:rPr>
          <w:rFonts w:ascii="Garamond" w:hAnsi="Garamond" w:cs="Times New Roman"/>
          <w:spacing w:val="-2"/>
        </w:rPr>
        <w:t>fitotoxicidade</w:t>
      </w:r>
      <w:proofErr w:type="spellEnd"/>
      <w:r w:rsidRPr="001F1488">
        <w:rPr>
          <w:rFonts w:ascii="Garamond" w:hAnsi="Garamond" w:cs="Times New Roman"/>
          <w:spacing w:val="-2"/>
        </w:rPr>
        <w:t xml:space="preserve"> como </w:t>
      </w:r>
      <w:r w:rsidRPr="001F1488">
        <w:rPr>
          <w:rFonts w:ascii="Garamond" w:hAnsi="Garamond"/>
          <w:bCs/>
          <w:spacing w:val="-2"/>
        </w:rPr>
        <w:t>2.</w:t>
      </w:r>
      <w:r w:rsidR="00FC01A7" w:rsidRPr="001F1488">
        <w:rPr>
          <w:rFonts w:ascii="Garamond" w:hAnsi="Garamond"/>
          <w:bCs/>
          <w:spacing w:val="-2"/>
        </w:rPr>
        <w:t xml:space="preserve"> </w:t>
      </w:r>
    </w:p>
    <w:p w14:paraId="0463A6A5" w14:textId="77777777" w:rsidR="00FC01A7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Cs/>
        </w:rPr>
      </w:pPr>
      <w:r w:rsidRPr="001F1488">
        <w:rPr>
          <w:rFonts w:ascii="Garamond" w:hAnsi="Garamond"/>
          <w:bCs/>
        </w:rPr>
        <w:t xml:space="preserve">A área com aplicação de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apresentou uma grande clorose no colmo e também na lâmina e limbo foliar, seguido por uma grande desidratação do seu meristema apical, onde foi avaliado em dano médio na escala </w:t>
      </w:r>
      <w:r w:rsidRPr="001F1488">
        <w:rPr>
          <w:rFonts w:ascii="Garamond" w:hAnsi="Garamond" w:cs="Times New Roman"/>
        </w:rPr>
        <w:t xml:space="preserve">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5. Já a área com </w:t>
      </w:r>
      <w:r w:rsidRPr="001F1488">
        <w:rPr>
          <w:rFonts w:ascii="Garamond" w:hAnsi="Garamond"/>
          <w:bCs/>
        </w:rPr>
        <w:t xml:space="preserve">aplicação de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 apresentou uma grande clorose das folhas e também do colmo, com necroses e desidratação em algumas folhas, onde foi avaliada com dano leve na escala </w:t>
      </w:r>
      <w:r w:rsidRPr="001F1488">
        <w:rPr>
          <w:rFonts w:ascii="Garamond" w:hAnsi="Garamond" w:cs="Times New Roman"/>
        </w:rPr>
        <w:t xml:space="preserve">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3.</w:t>
      </w:r>
    </w:p>
    <w:p w14:paraId="43C67D59" w14:textId="3D06D389" w:rsidR="00520C75" w:rsidRPr="001F1488" w:rsidRDefault="00F928B2" w:rsidP="00FC01A7">
      <w:pPr>
        <w:spacing w:after="0" w:line="360" w:lineRule="auto"/>
        <w:ind w:firstLine="567"/>
        <w:jc w:val="both"/>
        <w:rPr>
          <w:rFonts w:ascii="Garamond" w:hAnsi="Garamond"/>
          <w:bCs/>
        </w:rPr>
      </w:pPr>
      <w:r w:rsidRPr="001F1488">
        <w:rPr>
          <w:rFonts w:ascii="Garamond" w:hAnsi="Garamond"/>
        </w:rPr>
        <w:t>O</w:t>
      </w:r>
      <w:r w:rsidR="00520C75" w:rsidRPr="001F1488">
        <w:rPr>
          <w:rFonts w:ascii="Garamond" w:hAnsi="Garamond"/>
        </w:rPr>
        <w:t xml:space="preserve"> padrão de controle registrado é bastante semelhante para os herbicidas </w:t>
      </w:r>
      <w:proofErr w:type="spellStart"/>
      <w:r w:rsidR="00520C75" w:rsidRPr="001F1488">
        <w:rPr>
          <w:rFonts w:ascii="Garamond" w:hAnsi="Garamond"/>
        </w:rPr>
        <w:t>chlorimurom</w:t>
      </w:r>
      <w:proofErr w:type="spellEnd"/>
      <w:r w:rsidR="00520C75" w:rsidRPr="001F1488">
        <w:rPr>
          <w:rFonts w:ascii="Garamond" w:hAnsi="Garamond"/>
        </w:rPr>
        <w:t xml:space="preserve"> </w:t>
      </w:r>
      <w:proofErr w:type="spellStart"/>
      <w:r w:rsidR="00520C75" w:rsidRPr="001F1488">
        <w:rPr>
          <w:rFonts w:ascii="Garamond" w:hAnsi="Garamond"/>
        </w:rPr>
        <w:t>diclosulam</w:t>
      </w:r>
      <w:proofErr w:type="spellEnd"/>
      <w:r w:rsidR="00520C75" w:rsidRPr="001F1488">
        <w:rPr>
          <w:rFonts w:ascii="Garamond" w:hAnsi="Garamond"/>
        </w:rPr>
        <w:t xml:space="preserve"> e </w:t>
      </w:r>
      <w:proofErr w:type="spellStart"/>
      <w:r w:rsidR="00520C75" w:rsidRPr="001F1488">
        <w:rPr>
          <w:rFonts w:ascii="Garamond" w:hAnsi="Garamond"/>
        </w:rPr>
        <w:t>cletodim</w:t>
      </w:r>
      <w:proofErr w:type="spellEnd"/>
      <w:r w:rsidR="00520C75" w:rsidRPr="001F1488">
        <w:rPr>
          <w:rFonts w:ascii="Garamond" w:hAnsi="Garamond"/>
        </w:rPr>
        <w:t xml:space="preserve"> na avaliação aos sete dias. Observa-se que o menor desempenho foi observado quando se aplicou o </w:t>
      </w:r>
      <w:proofErr w:type="spellStart"/>
      <w:r w:rsidR="00520C75" w:rsidRPr="001F1488">
        <w:rPr>
          <w:rFonts w:ascii="Garamond" w:hAnsi="Garamond"/>
          <w:bCs/>
        </w:rPr>
        <w:t>diclosulam</w:t>
      </w:r>
      <w:proofErr w:type="spellEnd"/>
      <w:r w:rsidR="00520C75" w:rsidRPr="001F1488">
        <w:rPr>
          <w:rFonts w:ascii="Garamond" w:hAnsi="Garamond"/>
          <w:bCs/>
        </w:rPr>
        <w:t xml:space="preserve"> e o melhor com o uso do </w:t>
      </w:r>
      <w:proofErr w:type="spellStart"/>
      <w:r w:rsidR="00520C75" w:rsidRPr="001F1488">
        <w:rPr>
          <w:rFonts w:ascii="Garamond" w:hAnsi="Garamond"/>
          <w:bCs/>
        </w:rPr>
        <w:t>haloxyfope</w:t>
      </w:r>
      <w:proofErr w:type="spellEnd"/>
      <w:r w:rsidR="00520C75" w:rsidRPr="001F1488">
        <w:rPr>
          <w:rFonts w:ascii="Garamond" w:hAnsi="Garamond"/>
          <w:bCs/>
        </w:rPr>
        <w:t>.</w:t>
      </w:r>
    </w:p>
    <w:p w14:paraId="30C387B7" w14:textId="718EE96F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 w:cs="Times New Roman"/>
          <w:b/>
          <w:bCs/>
        </w:rPr>
      </w:pPr>
      <w:r w:rsidRPr="001F1488">
        <w:rPr>
          <w:rFonts w:ascii="Garamond" w:hAnsi="Garamond" w:cs="Times New Roman"/>
        </w:rPr>
        <w:t xml:space="preserve">Esses resultados podem ser explicados, visto que </w:t>
      </w:r>
      <w:proofErr w:type="spellStart"/>
      <w:r w:rsidRPr="001F1488">
        <w:rPr>
          <w:rFonts w:ascii="Garamond" w:hAnsi="Garamond" w:cs="Times New Roman"/>
        </w:rPr>
        <w:t>haloxyfope</w:t>
      </w:r>
      <w:proofErr w:type="spellEnd"/>
      <w:r w:rsidRPr="001F1488">
        <w:rPr>
          <w:rFonts w:ascii="Garamond" w:hAnsi="Garamond" w:cs="Times New Roman"/>
        </w:rPr>
        <w:t xml:space="preserve"> é um herbicida específico para o controle de gramíneas. Seu mecanismo de ação é a inibição da </w:t>
      </w:r>
      <w:proofErr w:type="spellStart"/>
      <w:r w:rsidRPr="001F1488">
        <w:rPr>
          <w:rFonts w:ascii="Garamond" w:hAnsi="Garamond" w:cs="Times New Roman"/>
        </w:rPr>
        <w:t>ACCase</w:t>
      </w:r>
      <w:proofErr w:type="spellEnd"/>
      <w:r w:rsidRPr="001F1488">
        <w:rPr>
          <w:rFonts w:ascii="Garamond" w:hAnsi="Garamond" w:cs="Times New Roman"/>
        </w:rPr>
        <w:t xml:space="preserve">, sendo as gramíneas sensíveis à estes herbicidas e em espécies monocotiledôneas não gramíneas e dicotiledôneas parece não ser afetada (SILVA </w:t>
      </w:r>
      <w:r w:rsidR="00974F0B" w:rsidRPr="001F1488">
        <w:rPr>
          <w:rFonts w:ascii="Garamond" w:hAnsi="Garamond" w:cs="Times New Roman"/>
          <w:i/>
        </w:rPr>
        <w:t>et al</w:t>
      </w:r>
      <w:r w:rsidRPr="001F1488">
        <w:rPr>
          <w:rFonts w:ascii="Garamond" w:hAnsi="Garamond" w:cs="Times New Roman"/>
        </w:rPr>
        <w:t>., 2010).</w:t>
      </w:r>
    </w:p>
    <w:p w14:paraId="0EC201AA" w14:textId="4D3AEBE5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Cs/>
        </w:rPr>
      </w:pPr>
      <w:r w:rsidRPr="001F1488">
        <w:rPr>
          <w:rFonts w:ascii="Garamond" w:hAnsi="Garamond"/>
          <w:bCs/>
        </w:rPr>
        <w:t xml:space="preserve">A 2º avaliação ocorreu no dia 7 de maio de 2020 dos herbicidas pré-emergentes e no dia 25 de maio de 2020 dos herbicidas pós-emergentes, todos com 14 dias após a aplicação dos produtos. A área com aplicação de </w:t>
      </w:r>
      <w:proofErr w:type="spellStart"/>
      <w:r w:rsidRPr="001F1488">
        <w:rPr>
          <w:rFonts w:ascii="Garamond" w:hAnsi="Garamond"/>
          <w:bCs/>
        </w:rPr>
        <w:t>chlorimuron</w:t>
      </w:r>
      <w:proofErr w:type="spellEnd"/>
      <w:r w:rsidRPr="001F1488">
        <w:rPr>
          <w:rFonts w:ascii="Garamond" w:hAnsi="Garamond"/>
          <w:bCs/>
        </w:rPr>
        <w:t xml:space="preserve"> apresentou uma grande desidratação nas folhas, onde a maioria delas estavam necrosadas e caíram, com uma avaliação de dano forte na escala</w:t>
      </w:r>
      <w:r w:rsidRPr="001F1488">
        <w:rPr>
          <w:rFonts w:ascii="Garamond" w:hAnsi="Garamond" w:cs="Times New Roman"/>
        </w:rPr>
        <w:t xml:space="preserve"> 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7. Já a área com aplicação de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 apresentou desidratação e necrose de algumas folhas, mas elas ainda permaneciam nas plantas, onde foi avaliada com dano quase forte na escala</w:t>
      </w:r>
      <w:r w:rsidRPr="001F1488">
        <w:rPr>
          <w:rFonts w:ascii="Garamond" w:hAnsi="Garamond" w:cs="Times New Roman"/>
        </w:rPr>
        <w:t xml:space="preserve"> 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6.</w:t>
      </w:r>
    </w:p>
    <w:p w14:paraId="78507C17" w14:textId="77777777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A área com aplicação de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apresentou uma grande clorose em todas as folhas, seguida por um grande murchamento das plantas, onde foi avaliado com dano forte na escala </w:t>
      </w:r>
      <w:r w:rsidRPr="001F1488">
        <w:rPr>
          <w:rFonts w:ascii="Garamond" w:hAnsi="Garamond" w:cs="Times New Roman"/>
        </w:rPr>
        <w:t xml:space="preserve">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7. A área com aplicação de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 apresentou plantas com grande clorose em algumas folhas e em seu meristema apical, mas sem murchamento das plantas, e foi avaliado com dano quase forte na escala </w:t>
      </w:r>
      <w:r w:rsidRPr="001F1488">
        <w:rPr>
          <w:rFonts w:ascii="Garamond" w:hAnsi="Garamond" w:cs="Times New Roman"/>
        </w:rPr>
        <w:t xml:space="preserve">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6.</w:t>
      </w:r>
    </w:p>
    <w:p w14:paraId="42B57498" w14:textId="77777777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</w:rPr>
        <w:t xml:space="preserve">Novamente observa-se que o padrão de controle registrado é bastante semelhante para os herbicidas </w:t>
      </w:r>
      <w:r w:rsidRPr="001F1488">
        <w:rPr>
          <w:rFonts w:ascii="Garamond" w:hAnsi="Garamond"/>
        </w:rPr>
        <w:lastRenderedPageBreak/>
        <w:t xml:space="preserve">utilizados aos 14 dias. Observa-se que o menor desempenho foi observado quando se aplicou o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 e o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 e o melhor com o uso do </w:t>
      </w:r>
      <w:proofErr w:type="spellStart"/>
      <w:r w:rsidRPr="001F1488">
        <w:rPr>
          <w:rFonts w:ascii="Garamond" w:hAnsi="Garamond"/>
          <w:bCs/>
        </w:rPr>
        <w:t>chlorimuron</w:t>
      </w:r>
      <w:proofErr w:type="spellEnd"/>
      <w:r w:rsidRPr="001F1488">
        <w:rPr>
          <w:rFonts w:ascii="Garamond" w:hAnsi="Garamond"/>
          <w:bCs/>
        </w:rPr>
        <w:t xml:space="preserve"> e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>.</w:t>
      </w:r>
    </w:p>
    <w:p w14:paraId="06FECECE" w14:textId="5A7EB691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</w:rPr>
      </w:pPr>
      <w:r w:rsidRPr="001F1488">
        <w:rPr>
          <w:rFonts w:ascii="Garamond" w:hAnsi="Garamond"/>
          <w:bCs/>
        </w:rPr>
        <w:t xml:space="preserve">Maciel </w:t>
      </w:r>
      <w:r w:rsidR="00974F0B" w:rsidRPr="001F1488">
        <w:rPr>
          <w:rFonts w:ascii="Garamond" w:hAnsi="Garamond"/>
          <w:bCs/>
          <w:i/>
        </w:rPr>
        <w:t>et al</w:t>
      </w:r>
      <w:r w:rsidRPr="001F1488">
        <w:rPr>
          <w:rFonts w:ascii="Garamond" w:hAnsi="Garamond"/>
          <w:bCs/>
        </w:rPr>
        <w:t xml:space="preserve">. (2013) também observaram que o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apresenta </w:t>
      </w:r>
      <w:r w:rsidRPr="001F1488">
        <w:rPr>
          <w:rFonts w:ascii="Garamond" w:hAnsi="Garamond"/>
        </w:rPr>
        <w:t>alta eficiência no controle do milho RR</w:t>
      </w:r>
      <w:r w:rsidRPr="001F1488">
        <w:rPr>
          <w:rFonts w:ascii="Garamond" w:hAnsi="Garamond"/>
          <w:vertAlign w:val="superscript"/>
        </w:rPr>
        <w:t>®</w:t>
      </w:r>
      <w:r w:rsidRPr="001F1488">
        <w:rPr>
          <w:rFonts w:ascii="Garamond" w:hAnsi="Garamond"/>
        </w:rPr>
        <w:t xml:space="preserve"> voluntário, sendo observado que o </w:t>
      </w:r>
      <w:r w:rsidRPr="001F1488">
        <w:rPr>
          <w:rFonts w:ascii="Garamond" w:hAnsi="Garamond" w:cs="Times New Roman"/>
        </w:rPr>
        <w:t xml:space="preserve">controle eficiente e precoce de híbridos de milho a partir dos sete dias no estádio V5, e com eficiência mais lenta, observada a partir dos 14 e 21 dias para o estádio V7. Pode se </w:t>
      </w:r>
      <w:r w:rsidRPr="001F1488">
        <w:rPr>
          <w:rFonts w:ascii="Garamond" w:hAnsi="Garamond"/>
        </w:rPr>
        <w:t xml:space="preserve">observa-se o efeito do </w:t>
      </w:r>
      <w:proofErr w:type="spellStart"/>
      <w:r w:rsidRPr="001F1488">
        <w:rPr>
          <w:rFonts w:ascii="Garamond" w:hAnsi="Garamond"/>
        </w:rPr>
        <w:t>haloxyfope</w:t>
      </w:r>
      <w:proofErr w:type="spellEnd"/>
      <w:r w:rsidRPr="001F1488">
        <w:rPr>
          <w:rFonts w:ascii="Garamond" w:hAnsi="Garamond"/>
        </w:rPr>
        <w:t xml:space="preserve"> e </w:t>
      </w:r>
      <w:proofErr w:type="spellStart"/>
      <w:r w:rsidRPr="001F1488">
        <w:rPr>
          <w:rFonts w:ascii="Garamond" w:hAnsi="Garamond"/>
        </w:rPr>
        <w:t>cletodim</w:t>
      </w:r>
      <w:proofErr w:type="spellEnd"/>
      <w:r w:rsidRPr="001F1488">
        <w:rPr>
          <w:rFonts w:ascii="Garamond" w:hAnsi="Garamond"/>
        </w:rPr>
        <w:t>.</w:t>
      </w:r>
    </w:p>
    <w:p w14:paraId="585D40EA" w14:textId="72BBF49F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 w:cs="Times New Roman"/>
          <w:b/>
        </w:rPr>
      </w:pPr>
      <w:r w:rsidRPr="001F1488">
        <w:rPr>
          <w:rFonts w:ascii="Garamond" w:eastAsia="Times New Roman" w:hAnsi="Garamond" w:cs="Times New Roman"/>
          <w:lang w:eastAsia="pt-BR"/>
        </w:rPr>
        <w:t xml:space="preserve">Segundo Silva </w:t>
      </w:r>
      <w:r w:rsidR="00974F0B" w:rsidRPr="001F1488">
        <w:rPr>
          <w:rFonts w:ascii="Garamond" w:eastAsia="Times New Roman" w:hAnsi="Garamond" w:cs="Times New Roman"/>
          <w:i/>
          <w:lang w:eastAsia="pt-BR"/>
        </w:rPr>
        <w:t>et al</w:t>
      </w:r>
      <w:r w:rsidRPr="001F1488">
        <w:rPr>
          <w:rFonts w:ascii="Garamond" w:eastAsia="Times New Roman" w:hAnsi="Garamond" w:cs="Times New Roman"/>
          <w:lang w:eastAsia="pt-BR"/>
        </w:rPr>
        <w:t>. (2018), no sistema de rotação de culturas em que o milho RR®</w:t>
      </w:r>
      <w:r w:rsidRPr="001F1488">
        <w:rPr>
          <w:rFonts w:ascii="Garamond" w:hAnsi="Garamond" w:cs="Times New Roman"/>
        </w:rPr>
        <w:t xml:space="preserve"> </w:t>
      </w:r>
      <w:r w:rsidRPr="001F1488">
        <w:rPr>
          <w:rFonts w:ascii="Garamond" w:eastAsia="Times New Roman" w:hAnsi="Garamond" w:cs="Times New Roman"/>
          <w:lang w:eastAsia="pt-BR"/>
        </w:rPr>
        <w:t xml:space="preserve">germina como planta voluntária, a combinação da ação de glifosato com </w:t>
      </w:r>
      <w:proofErr w:type="spellStart"/>
      <w:r w:rsidRPr="001F1488">
        <w:rPr>
          <w:rFonts w:ascii="Garamond" w:eastAsia="Times New Roman" w:hAnsi="Garamond" w:cs="Times New Roman"/>
          <w:lang w:eastAsia="pt-BR"/>
        </w:rPr>
        <w:t>graminicidas</w:t>
      </w:r>
      <w:proofErr w:type="spellEnd"/>
      <w:r w:rsidRPr="001F1488">
        <w:rPr>
          <w:rFonts w:ascii="Garamond" w:eastAsia="Times New Roman" w:hAnsi="Garamond" w:cs="Times New Roman"/>
          <w:lang w:eastAsia="pt-BR"/>
        </w:rPr>
        <w:t xml:space="preserve"> inibidores da </w:t>
      </w:r>
      <w:proofErr w:type="spellStart"/>
      <w:r w:rsidRPr="001F1488">
        <w:rPr>
          <w:rFonts w:ascii="Garamond" w:eastAsia="Times New Roman" w:hAnsi="Garamond" w:cs="Times New Roman"/>
          <w:lang w:eastAsia="pt-BR"/>
        </w:rPr>
        <w:t>ACCase</w:t>
      </w:r>
      <w:proofErr w:type="spellEnd"/>
      <w:r w:rsidRPr="001F1488">
        <w:rPr>
          <w:rFonts w:ascii="Garamond" w:eastAsia="Times New Roman" w:hAnsi="Garamond" w:cs="Times New Roman"/>
          <w:lang w:eastAsia="pt-BR"/>
        </w:rPr>
        <w:t xml:space="preserve"> pode ser uma prática para o controle antecedendo a semeadura como no controle em pós-emergência após a instalação da cultura de soja RR®</w:t>
      </w:r>
      <w:r w:rsidRPr="001F1488">
        <w:rPr>
          <w:rFonts w:ascii="Garamond" w:hAnsi="Garamond" w:cs="Times New Roman"/>
        </w:rPr>
        <w:t xml:space="preserve">. Maciel </w:t>
      </w:r>
      <w:r w:rsidR="00974F0B" w:rsidRPr="001F1488">
        <w:rPr>
          <w:rFonts w:ascii="Garamond" w:hAnsi="Garamond" w:cs="Times New Roman"/>
          <w:i/>
        </w:rPr>
        <w:t>et al</w:t>
      </w:r>
      <w:r w:rsidRPr="001F1488">
        <w:rPr>
          <w:rFonts w:ascii="Garamond" w:hAnsi="Garamond" w:cs="Times New Roman"/>
        </w:rPr>
        <w:t>. (2013), destaca que é imprescindível verificar a eficiência dos herbicidas que serão usados no controle do milho RR</w:t>
      </w:r>
      <w:r w:rsidRPr="001F1488">
        <w:rPr>
          <w:rFonts w:ascii="Garamond" w:eastAsia="Times New Roman" w:hAnsi="Garamond" w:cs="Times New Roman"/>
          <w:lang w:eastAsia="pt-BR"/>
        </w:rPr>
        <w:t>®</w:t>
      </w:r>
      <w:r w:rsidRPr="001F1488">
        <w:rPr>
          <w:rFonts w:ascii="Garamond" w:hAnsi="Garamond" w:cs="Times New Roman"/>
        </w:rPr>
        <w:t xml:space="preserve"> voluntário.</w:t>
      </w:r>
    </w:p>
    <w:p w14:paraId="0C903C4F" w14:textId="77777777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  <w:spacing w:val="-2"/>
        </w:rPr>
      </w:pPr>
      <w:r w:rsidRPr="001F1488">
        <w:rPr>
          <w:rFonts w:ascii="Garamond" w:hAnsi="Garamond"/>
          <w:bCs/>
          <w:spacing w:val="-2"/>
        </w:rPr>
        <w:t xml:space="preserve">A 3º e última avaliação ocorreu no dia 14 de maio de 2020 dos herbicidas pré-emergentes e no dia 01 de junho dos herbicidas pós-emergentes, todos com 21 dias após a aplicação dos produtos. A área com aplicação de </w:t>
      </w:r>
      <w:proofErr w:type="spellStart"/>
      <w:r w:rsidRPr="001F1488">
        <w:rPr>
          <w:rFonts w:ascii="Garamond" w:hAnsi="Garamond"/>
          <w:bCs/>
          <w:spacing w:val="-2"/>
        </w:rPr>
        <w:t>chlorimuron</w:t>
      </w:r>
      <w:proofErr w:type="spellEnd"/>
      <w:r w:rsidRPr="001F1488">
        <w:rPr>
          <w:rFonts w:ascii="Garamond" w:hAnsi="Garamond"/>
          <w:bCs/>
          <w:spacing w:val="-2"/>
        </w:rPr>
        <w:t xml:space="preserve"> observou-se uma grande desidratação das plantas e todas necrosadas, com apenas o seu colmo sem grande interferência, onde foi avaliada com dano muito forte na escala </w:t>
      </w:r>
      <w:r w:rsidRPr="001F1488">
        <w:rPr>
          <w:rFonts w:ascii="Garamond" w:hAnsi="Garamond" w:cs="Times New Roman"/>
          <w:spacing w:val="-2"/>
        </w:rPr>
        <w:t xml:space="preserve">visual de </w:t>
      </w:r>
      <w:proofErr w:type="spellStart"/>
      <w:r w:rsidRPr="001F1488">
        <w:rPr>
          <w:rFonts w:ascii="Garamond" w:hAnsi="Garamond" w:cs="Times New Roman"/>
          <w:spacing w:val="-2"/>
        </w:rPr>
        <w:t>fitotoxicidade</w:t>
      </w:r>
      <w:proofErr w:type="spellEnd"/>
      <w:r w:rsidRPr="001F1488">
        <w:rPr>
          <w:rFonts w:ascii="Garamond" w:hAnsi="Garamond"/>
          <w:bCs/>
          <w:spacing w:val="-2"/>
        </w:rPr>
        <w:t xml:space="preserve"> como 8. A área com aplicação de </w:t>
      </w:r>
      <w:proofErr w:type="spellStart"/>
      <w:r w:rsidRPr="001F1488">
        <w:rPr>
          <w:rFonts w:ascii="Garamond" w:hAnsi="Garamond"/>
          <w:bCs/>
          <w:spacing w:val="-2"/>
        </w:rPr>
        <w:t>diclosulam</w:t>
      </w:r>
      <w:proofErr w:type="spellEnd"/>
      <w:r w:rsidRPr="001F1488">
        <w:rPr>
          <w:rFonts w:ascii="Garamond" w:hAnsi="Garamond"/>
          <w:bCs/>
          <w:spacing w:val="-2"/>
        </w:rPr>
        <w:t xml:space="preserve"> apresentou grande necrose das folhas, com o meristema apical bastante afetado, onde foi avaliado com dano forte na escala </w:t>
      </w:r>
      <w:r w:rsidRPr="001F1488">
        <w:rPr>
          <w:rFonts w:ascii="Garamond" w:hAnsi="Garamond" w:cs="Times New Roman"/>
          <w:spacing w:val="-2"/>
        </w:rPr>
        <w:t xml:space="preserve">visual de </w:t>
      </w:r>
      <w:proofErr w:type="spellStart"/>
      <w:r w:rsidRPr="001F1488">
        <w:rPr>
          <w:rFonts w:ascii="Garamond" w:hAnsi="Garamond" w:cs="Times New Roman"/>
          <w:spacing w:val="-2"/>
        </w:rPr>
        <w:t>fitotoxicidade</w:t>
      </w:r>
      <w:proofErr w:type="spellEnd"/>
      <w:r w:rsidRPr="001F1488">
        <w:rPr>
          <w:rFonts w:ascii="Garamond" w:hAnsi="Garamond"/>
          <w:bCs/>
          <w:spacing w:val="-2"/>
        </w:rPr>
        <w:t xml:space="preserve"> como 7. </w:t>
      </w:r>
    </w:p>
    <w:p w14:paraId="14665A60" w14:textId="77777777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A área com aplicação de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apresentou todas as plantas necrosadas e mortas, onde foi avaliada em morte na escala </w:t>
      </w:r>
      <w:r w:rsidRPr="001F1488">
        <w:rPr>
          <w:rFonts w:ascii="Garamond" w:hAnsi="Garamond" w:cs="Times New Roman"/>
        </w:rPr>
        <w:t xml:space="preserve">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9. A área com aplicação de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 um grande murchamento das plantas, onde foi avaliado com dano muito forte na escala </w:t>
      </w:r>
      <w:r w:rsidRPr="001F1488">
        <w:rPr>
          <w:rFonts w:ascii="Garamond" w:hAnsi="Garamond" w:cs="Times New Roman"/>
        </w:rPr>
        <w:t xml:space="preserve">visual de </w:t>
      </w:r>
      <w:proofErr w:type="spellStart"/>
      <w:r w:rsidRPr="001F1488">
        <w:rPr>
          <w:rFonts w:ascii="Garamond" w:hAnsi="Garamond" w:cs="Times New Roman"/>
        </w:rPr>
        <w:t>fitotoxicidade</w:t>
      </w:r>
      <w:proofErr w:type="spellEnd"/>
      <w:r w:rsidRPr="001F1488">
        <w:rPr>
          <w:rFonts w:ascii="Garamond" w:hAnsi="Garamond"/>
          <w:bCs/>
        </w:rPr>
        <w:t xml:space="preserve"> como 8. </w:t>
      </w:r>
    </w:p>
    <w:p w14:paraId="35A5C6C7" w14:textId="4FB87D39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 w:cs="Times New Roman"/>
          <w:b/>
          <w:bCs/>
        </w:rPr>
      </w:pPr>
      <w:r w:rsidRPr="001F1488">
        <w:rPr>
          <w:rFonts w:ascii="Garamond" w:hAnsi="Garamond"/>
        </w:rPr>
        <w:t xml:space="preserve">O padrão de controle </w:t>
      </w:r>
      <w:r w:rsidRPr="001F1488">
        <w:rPr>
          <w:rFonts w:ascii="Garamond" w:hAnsi="Garamond" w:cs="Times New Roman"/>
        </w:rPr>
        <w:t xml:space="preserve">registrado é bastante semelhante para os herbicidas utilizados aos 21 dias. Observa-se que o menor desempenho foi observado quando se aplicou o </w:t>
      </w:r>
      <w:proofErr w:type="spellStart"/>
      <w:r w:rsidRPr="001F1488">
        <w:rPr>
          <w:rFonts w:ascii="Garamond" w:hAnsi="Garamond" w:cs="Times New Roman"/>
          <w:bCs/>
        </w:rPr>
        <w:t>diclosulam</w:t>
      </w:r>
      <w:proofErr w:type="spellEnd"/>
      <w:r w:rsidRPr="001F1488">
        <w:rPr>
          <w:rFonts w:ascii="Garamond" w:hAnsi="Garamond" w:cs="Times New Roman"/>
          <w:bCs/>
        </w:rPr>
        <w:t xml:space="preserve"> e o melhor com o uso do </w:t>
      </w:r>
      <w:proofErr w:type="spellStart"/>
      <w:r w:rsidRPr="001F1488">
        <w:rPr>
          <w:rFonts w:ascii="Garamond" w:hAnsi="Garamond" w:cs="Times New Roman"/>
          <w:bCs/>
        </w:rPr>
        <w:t>haloxyfope</w:t>
      </w:r>
      <w:proofErr w:type="spellEnd"/>
      <w:r w:rsidRPr="001F1488">
        <w:rPr>
          <w:rFonts w:ascii="Garamond" w:hAnsi="Garamond" w:cs="Times New Roman"/>
          <w:bCs/>
        </w:rPr>
        <w:t xml:space="preserve">. </w:t>
      </w:r>
      <w:r w:rsidRPr="001F1488">
        <w:rPr>
          <w:rFonts w:ascii="Garamond" w:hAnsi="Garamond" w:cs="Times New Roman"/>
        </w:rPr>
        <w:t xml:space="preserve">Bianchi (2009) e Schneider </w:t>
      </w:r>
      <w:r w:rsidR="00974F0B" w:rsidRPr="001F1488">
        <w:rPr>
          <w:rFonts w:ascii="Garamond" w:hAnsi="Garamond" w:cs="Times New Roman"/>
          <w:i/>
        </w:rPr>
        <w:t>et al</w:t>
      </w:r>
      <w:r w:rsidRPr="001F1488">
        <w:rPr>
          <w:rFonts w:ascii="Garamond" w:hAnsi="Garamond" w:cs="Times New Roman"/>
        </w:rPr>
        <w:t>., (2011) constataram controle de milho voluntário RR</w:t>
      </w:r>
      <w:r w:rsidRPr="001F1488">
        <w:rPr>
          <w:rFonts w:ascii="Garamond" w:eastAsia="Times New Roman" w:hAnsi="Garamond" w:cs="Times New Roman"/>
          <w:lang w:eastAsia="pt-BR"/>
        </w:rPr>
        <w:t>®</w:t>
      </w:r>
      <w:r w:rsidRPr="001F1488">
        <w:rPr>
          <w:rFonts w:ascii="Garamond" w:hAnsi="Garamond" w:cs="Times New Roman"/>
        </w:rPr>
        <w:t xml:space="preserve"> aos 28 dias utilizando </w:t>
      </w:r>
      <w:proofErr w:type="spellStart"/>
      <w:r w:rsidRPr="001F1488">
        <w:rPr>
          <w:rFonts w:ascii="Garamond" w:hAnsi="Garamond" w:cs="Times New Roman"/>
        </w:rPr>
        <w:t>chlethodim</w:t>
      </w:r>
      <w:proofErr w:type="spellEnd"/>
      <w:r w:rsidRPr="001F1488">
        <w:rPr>
          <w:rFonts w:ascii="Garamond" w:hAnsi="Garamond" w:cs="Times New Roman"/>
        </w:rPr>
        <w:t xml:space="preserve"> (84,0 g ha</w:t>
      </w:r>
      <w:r w:rsidRPr="001F1488">
        <w:rPr>
          <w:rFonts w:ascii="Garamond" w:hAnsi="Garamond" w:cs="Times New Roman"/>
          <w:vertAlign w:val="superscript"/>
        </w:rPr>
        <w:t>-1</w:t>
      </w:r>
      <w:r w:rsidRPr="001F1488">
        <w:rPr>
          <w:rFonts w:ascii="Garamond" w:hAnsi="Garamond" w:cs="Times New Roman"/>
        </w:rPr>
        <w:t xml:space="preserve">) em estádio V4, </w:t>
      </w:r>
      <w:proofErr w:type="spellStart"/>
      <w:r w:rsidRPr="001F1488">
        <w:rPr>
          <w:rFonts w:ascii="Garamond" w:hAnsi="Garamond" w:cs="Times New Roman"/>
        </w:rPr>
        <w:t>haloxyfope</w:t>
      </w:r>
      <w:proofErr w:type="spellEnd"/>
      <w:r w:rsidRPr="001F1488">
        <w:rPr>
          <w:rFonts w:ascii="Garamond" w:hAnsi="Garamond" w:cs="Times New Roman"/>
        </w:rPr>
        <w:t xml:space="preserve"> (62,4 a 155,9 g ha</w:t>
      </w:r>
      <w:r w:rsidRPr="001F1488">
        <w:rPr>
          <w:rFonts w:ascii="Garamond" w:hAnsi="Garamond" w:cs="Times New Roman"/>
          <w:vertAlign w:val="superscript"/>
        </w:rPr>
        <w:t>-1</w:t>
      </w:r>
      <w:r w:rsidRPr="001F1488">
        <w:rPr>
          <w:rFonts w:ascii="Garamond" w:hAnsi="Garamond" w:cs="Times New Roman"/>
        </w:rPr>
        <w:t xml:space="preserve">), </w:t>
      </w:r>
      <w:proofErr w:type="spellStart"/>
      <w:r w:rsidRPr="001F1488">
        <w:rPr>
          <w:rFonts w:ascii="Garamond" w:hAnsi="Garamond" w:cs="Times New Roman"/>
        </w:rPr>
        <w:t>clethodim</w:t>
      </w:r>
      <w:proofErr w:type="spellEnd"/>
      <w:r w:rsidRPr="001F1488">
        <w:rPr>
          <w:rFonts w:ascii="Garamond" w:hAnsi="Garamond" w:cs="Times New Roman"/>
        </w:rPr>
        <w:t xml:space="preserve"> (108,0 g ha ha</w:t>
      </w:r>
      <w:r w:rsidRPr="001F1488">
        <w:rPr>
          <w:rFonts w:ascii="Garamond" w:hAnsi="Garamond" w:cs="Times New Roman"/>
          <w:vertAlign w:val="superscript"/>
        </w:rPr>
        <w:t>-1</w:t>
      </w:r>
      <w:r w:rsidRPr="001F1488">
        <w:rPr>
          <w:rFonts w:ascii="Garamond" w:hAnsi="Garamond" w:cs="Times New Roman"/>
        </w:rPr>
        <w:t>), em estádio V6.</w:t>
      </w:r>
    </w:p>
    <w:p w14:paraId="33C79916" w14:textId="7FCC293E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 w:cs="Times New Roman"/>
          <w:b/>
        </w:rPr>
      </w:pPr>
      <w:r w:rsidRPr="001F1488">
        <w:rPr>
          <w:rFonts w:ascii="Garamond" w:hAnsi="Garamond" w:cs="Times New Roman"/>
        </w:rPr>
        <w:t xml:space="preserve">O herbicida </w:t>
      </w:r>
      <w:proofErr w:type="spellStart"/>
      <w:r w:rsidRPr="001F1488">
        <w:rPr>
          <w:rFonts w:ascii="Garamond" w:hAnsi="Garamond" w:cs="Times New Roman"/>
        </w:rPr>
        <w:t>diclosulam</w:t>
      </w:r>
      <w:proofErr w:type="spellEnd"/>
      <w:r w:rsidRPr="001F1488">
        <w:rPr>
          <w:rFonts w:ascii="Garamond" w:hAnsi="Garamond" w:cs="Times New Roman"/>
        </w:rPr>
        <w:t xml:space="preserve"> é registrado como um herbicida seletivo para o controle das plantas daninhas de folha larga na cultura da soja, com indicações de aplicações em pré-plantio e incorporado ou pré-emergência, com meia-vida no solo, nas doses recomendadas, entre 33 a 65 dias. Mesmo não sendo recomendado para o controle de folhas estreitas não se recomenda a rotação deste herbicida com a cultura do milho. Segundo Cruz</w:t>
      </w:r>
      <w:r w:rsidR="00974F0B" w:rsidRPr="001F1488">
        <w:rPr>
          <w:rFonts w:ascii="Garamond" w:hAnsi="Garamond" w:cs="Times New Roman"/>
        </w:rPr>
        <w:t xml:space="preserve"> e</w:t>
      </w:r>
      <w:r w:rsidRPr="001F1488">
        <w:rPr>
          <w:rFonts w:ascii="Garamond" w:hAnsi="Garamond" w:cs="Times New Roman"/>
        </w:rPr>
        <w:t xml:space="preserve"> Karam (2004), o </w:t>
      </w:r>
      <w:proofErr w:type="spellStart"/>
      <w:r w:rsidRPr="001F1488">
        <w:rPr>
          <w:rFonts w:ascii="Garamond" w:hAnsi="Garamond" w:cs="Times New Roman"/>
        </w:rPr>
        <w:t>diclosulam</w:t>
      </w:r>
      <w:proofErr w:type="spellEnd"/>
      <w:r w:rsidRPr="001F1488">
        <w:rPr>
          <w:rFonts w:ascii="Garamond" w:hAnsi="Garamond" w:cs="Times New Roman"/>
        </w:rPr>
        <w:t xml:space="preserve"> prejudica o desenvolvimento inicial de plantas de milho. </w:t>
      </w:r>
    </w:p>
    <w:p w14:paraId="0B489DD6" w14:textId="77777777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Foi observado em todos os tratamentos, e já esperado, o eficaz controle das plantas com todos os herbicidas utilizados, apesar de que alguns foram mais eficientes do que outros. O herbicida </w:t>
      </w:r>
      <w:proofErr w:type="spellStart"/>
      <w:r w:rsidRPr="001F1488">
        <w:rPr>
          <w:rFonts w:ascii="Garamond" w:hAnsi="Garamond"/>
          <w:bCs/>
        </w:rPr>
        <w:t>chlorimuron</w:t>
      </w:r>
      <w:proofErr w:type="spellEnd"/>
      <w:r w:rsidRPr="001F1488">
        <w:rPr>
          <w:rFonts w:ascii="Garamond" w:hAnsi="Garamond"/>
          <w:bCs/>
        </w:rPr>
        <w:t xml:space="preserve"> apresentou um controle excelente, com 100% de eficácia com todas as plantas desidratadas e a morte de todas até os 25 dias após as aplicações.</w:t>
      </w:r>
    </w:p>
    <w:p w14:paraId="7BDBE119" w14:textId="77777777" w:rsidR="00520C75" w:rsidRPr="001F1488" w:rsidRDefault="00520C75" w:rsidP="00FC01A7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 O herbicida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 apresentou bom controle, com 85% de eficácia com as plantas bem afetadas pelo produto, mas com um controle mais demorado levando as plantas a morte em até 30 dias após as aplicações. Já os herbicidas pós-emergentes como o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obtiveram um controle excelente, com 100% de eficácia levando todas as plantas a morte em até 21 dias depois de aplicado. O herbicida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 também obteve um controle excelente, com 98% de eficácia onde todas as plantas já estavam murchas e </w:t>
      </w:r>
      <w:proofErr w:type="spellStart"/>
      <w:r w:rsidRPr="001F1488">
        <w:rPr>
          <w:rFonts w:ascii="Garamond" w:hAnsi="Garamond"/>
          <w:bCs/>
        </w:rPr>
        <w:t>conseqüentemente</w:t>
      </w:r>
      <w:proofErr w:type="spellEnd"/>
      <w:r w:rsidRPr="001F1488">
        <w:rPr>
          <w:rFonts w:ascii="Garamond" w:hAnsi="Garamond"/>
          <w:bCs/>
        </w:rPr>
        <w:t xml:space="preserve"> mortas em até 23 dias após as aplicações.</w:t>
      </w:r>
    </w:p>
    <w:p w14:paraId="3D576B6D" w14:textId="77777777" w:rsidR="00520C75" w:rsidRPr="001F1488" w:rsidRDefault="00520C75" w:rsidP="000C7B28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lastRenderedPageBreak/>
        <w:t>Os herbicidas devem apresentar um grande poder residual, suficiente para manter o milho voluntário controlado até o final do período crítico de competição. O aumento do residual favorece o controle de plantas daninhas e evita a reentrada na área para o controle de plantas após o estabelecimento da cultura implantada. Tendo o melhor aproveitamento da aplicação, de máquinas, mão de obra, obtendo assim, um melhor controle e aproveitamento operacional e financeiro.</w:t>
      </w:r>
    </w:p>
    <w:p w14:paraId="7C5A5F9C" w14:textId="77777777" w:rsidR="000C7B28" w:rsidRPr="001F1488" w:rsidRDefault="000C7B28" w:rsidP="000C7B28">
      <w:pPr>
        <w:spacing w:after="0" w:line="360" w:lineRule="auto"/>
        <w:ind w:firstLine="567"/>
        <w:jc w:val="both"/>
        <w:rPr>
          <w:rFonts w:ascii="Garamond" w:hAnsi="Garamond"/>
          <w:bCs/>
          <w:lang w:val="en-US"/>
        </w:rPr>
      </w:pPr>
    </w:p>
    <w:p w14:paraId="18164D0F" w14:textId="77777777" w:rsidR="000C7B28" w:rsidRPr="001F1488" w:rsidRDefault="000C7B28" w:rsidP="000C7B28">
      <w:pPr>
        <w:spacing w:after="0" w:line="360" w:lineRule="auto"/>
        <w:jc w:val="both"/>
        <w:rPr>
          <w:rFonts w:ascii="Garamond" w:hAnsi="Garamond"/>
          <w:b/>
        </w:rPr>
      </w:pPr>
      <w:r w:rsidRPr="001F1488">
        <w:rPr>
          <w:rFonts w:ascii="Garamond" w:hAnsi="Garamond"/>
          <w:b/>
        </w:rPr>
        <w:t xml:space="preserve">CONCLUSÃO </w:t>
      </w:r>
    </w:p>
    <w:p w14:paraId="7F60A12A" w14:textId="77777777" w:rsidR="000C7B28" w:rsidRPr="001F1488" w:rsidRDefault="000C7B28" w:rsidP="000C7B28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Pode se concluir que ocorre excelente controle de milho voluntário (tiguera) em todos os tratamentos com herbicidas, se aplicados no momento certo de desenvolvimento da planta. </w:t>
      </w:r>
    </w:p>
    <w:p w14:paraId="3913CD55" w14:textId="77777777" w:rsidR="000C7B28" w:rsidRPr="001F1488" w:rsidRDefault="000C7B28" w:rsidP="000C7B28">
      <w:pPr>
        <w:spacing w:after="0" w:line="360" w:lineRule="auto"/>
        <w:ind w:firstLine="567"/>
        <w:jc w:val="both"/>
        <w:rPr>
          <w:rFonts w:ascii="Garamond" w:hAnsi="Garamond"/>
          <w:b/>
          <w:bCs/>
        </w:rPr>
      </w:pPr>
      <w:r w:rsidRPr="001F1488">
        <w:rPr>
          <w:rFonts w:ascii="Garamond" w:hAnsi="Garamond"/>
          <w:bCs/>
        </w:rPr>
        <w:t xml:space="preserve">Todos foram eficazes, tanto os herbicidas pré-emergentes como o </w:t>
      </w:r>
      <w:proofErr w:type="spellStart"/>
      <w:r w:rsidRPr="001F1488">
        <w:rPr>
          <w:rFonts w:ascii="Garamond" w:hAnsi="Garamond"/>
          <w:bCs/>
        </w:rPr>
        <w:t>chlorimurom</w:t>
      </w:r>
      <w:proofErr w:type="spellEnd"/>
      <w:r w:rsidRPr="001F1488">
        <w:rPr>
          <w:rFonts w:ascii="Garamond" w:hAnsi="Garamond"/>
          <w:bCs/>
        </w:rPr>
        <w:t xml:space="preserve"> e o </w:t>
      </w:r>
      <w:proofErr w:type="spellStart"/>
      <w:r w:rsidRPr="001F1488">
        <w:rPr>
          <w:rFonts w:ascii="Garamond" w:hAnsi="Garamond"/>
          <w:bCs/>
        </w:rPr>
        <w:t>diclosulam</w:t>
      </w:r>
      <w:proofErr w:type="spellEnd"/>
      <w:r w:rsidRPr="001F1488">
        <w:rPr>
          <w:rFonts w:ascii="Garamond" w:hAnsi="Garamond"/>
          <w:bCs/>
        </w:rPr>
        <w:t xml:space="preserve">, tanto nos pós-emergentes como o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e </w:t>
      </w:r>
      <w:proofErr w:type="spellStart"/>
      <w:r w:rsidRPr="001F1488">
        <w:rPr>
          <w:rFonts w:ascii="Garamond" w:hAnsi="Garamond"/>
          <w:bCs/>
        </w:rPr>
        <w:t>cletodim</w:t>
      </w:r>
      <w:proofErr w:type="spellEnd"/>
      <w:r w:rsidRPr="001F1488">
        <w:rPr>
          <w:rFonts w:ascii="Garamond" w:hAnsi="Garamond"/>
          <w:bCs/>
        </w:rPr>
        <w:t xml:space="preserve">. </w:t>
      </w:r>
    </w:p>
    <w:p w14:paraId="47B90022" w14:textId="77777777" w:rsidR="000C7B28" w:rsidRPr="001F1488" w:rsidRDefault="000C7B28" w:rsidP="000C7B28">
      <w:pPr>
        <w:spacing w:after="0" w:line="360" w:lineRule="auto"/>
        <w:ind w:firstLine="567"/>
        <w:jc w:val="both"/>
        <w:rPr>
          <w:rFonts w:ascii="Garamond" w:hAnsi="Garamond"/>
        </w:rPr>
      </w:pPr>
      <w:r w:rsidRPr="001F1488">
        <w:rPr>
          <w:rFonts w:ascii="Garamond" w:hAnsi="Garamond"/>
          <w:bCs/>
        </w:rPr>
        <w:t xml:space="preserve">O </w:t>
      </w:r>
      <w:proofErr w:type="spellStart"/>
      <w:r w:rsidRPr="001F1488">
        <w:rPr>
          <w:rFonts w:ascii="Garamond" w:hAnsi="Garamond"/>
          <w:bCs/>
        </w:rPr>
        <w:t>chlorimurom</w:t>
      </w:r>
      <w:proofErr w:type="spellEnd"/>
      <w:r w:rsidRPr="001F1488">
        <w:rPr>
          <w:rFonts w:ascii="Garamond" w:hAnsi="Garamond"/>
          <w:bCs/>
        </w:rPr>
        <w:t xml:space="preserve"> e o </w:t>
      </w:r>
      <w:proofErr w:type="spellStart"/>
      <w:r w:rsidRPr="001F1488">
        <w:rPr>
          <w:rFonts w:ascii="Garamond" w:hAnsi="Garamond"/>
          <w:bCs/>
        </w:rPr>
        <w:t>haloxyfope</w:t>
      </w:r>
      <w:proofErr w:type="spellEnd"/>
      <w:r w:rsidRPr="001F1488">
        <w:rPr>
          <w:rFonts w:ascii="Garamond" w:hAnsi="Garamond"/>
          <w:bCs/>
        </w:rPr>
        <w:t xml:space="preserve"> foram mais eficientes em relação a rápida morte das plantas, controlando todas as plantas em até 23 dias após as aplicações.</w:t>
      </w:r>
    </w:p>
    <w:p w14:paraId="1292E666" w14:textId="5589D5A7" w:rsidR="00F92DA0" w:rsidRPr="001F1488" w:rsidRDefault="00F92DA0" w:rsidP="00F92DA0">
      <w:pPr>
        <w:spacing w:after="0" w:line="360" w:lineRule="auto"/>
        <w:jc w:val="both"/>
        <w:rPr>
          <w:rFonts w:ascii="Garamond" w:eastAsia="Calibri" w:hAnsi="Garamond" w:cs="Times New Roman"/>
          <w:bCs/>
          <w:lang w:val="en-US"/>
        </w:rPr>
      </w:pPr>
    </w:p>
    <w:p w14:paraId="62405D30" w14:textId="0DDEC85B" w:rsidR="00F92DA0" w:rsidRPr="001F1488" w:rsidRDefault="00520C75" w:rsidP="00F92DA0">
      <w:pPr>
        <w:spacing w:after="0" w:line="360" w:lineRule="auto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eastAsia="Calibri" w:hAnsi="Garamond" w:cs="Times New Roman"/>
          <w:b/>
          <w:bCs/>
        </w:rPr>
        <w:t>REFERÊNCIAS</w:t>
      </w:r>
    </w:p>
    <w:p w14:paraId="1F29A531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eastAsia="Calibri" w:hAnsi="Garamond" w:cs="Times New Roman"/>
          <w:bCs/>
        </w:rPr>
        <w:t xml:space="preserve">ASOCIACIÓN LATINOAMERICANA DE MALEZAS - ALAM.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Recomendaciones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sobre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unificación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de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los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sistemas de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evaluacion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en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ensyos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de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control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de malezas.</w:t>
      </w:r>
      <w:r w:rsidRPr="001F1488">
        <w:rPr>
          <w:rFonts w:ascii="Garamond" w:eastAsia="Calibri" w:hAnsi="Garamond" w:cs="Times New Roman"/>
          <w:bCs/>
        </w:rPr>
        <w:t xml:space="preserve"> </w:t>
      </w:r>
      <w:r w:rsidRPr="001F1488">
        <w:rPr>
          <w:rFonts w:ascii="Garamond" w:eastAsia="Calibri" w:hAnsi="Garamond" w:cs="Times New Roman"/>
        </w:rPr>
        <w:t>ALAM</w:t>
      </w:r>
      <w:r w:rsidRPr="001F1488">
        <w:rPr>
          <w:rFonts w:ascii="Garamond" w:eastAsia="Calibri" w:hAnsi="Garamond" w:cs="Times New Roman"/>
          <w:bCs/>
        </w:rPr>
        <w:t>, v. 1, n. 1, p. 35-38, 1974.</w:t>
      </w:r>
    </w:p>
    <w:p w14:paraId="4119CCB3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eastAsia="Calibri" w:hAnsi="Garamond" w:cs="Times New Roman"/>
          <w:bCs/>
        </w:rPr>
        <w:t xml:space="preserve">BIANCHI, M. A. Avaliação da eficiência e seletividade de </w:t>
      </w:r>
      <w:proofErr w:type="spellStart"/>
      <w:r w:rsidRPr="001F1488">
        <w:rPr>
          <w:rFonts w:ascii="Garamond" w:eastAsia="Calibri" w:hAnsi="Garamond" w:cs="Times New Roman"/>
          <w:bCs/>
        </w:rPr>
        <w:t>clethodin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sobre milho voluntário </w:t>
      </w:r>
      <w:r w:rsidRPr="001F1488">
        <w:rPr>
          <w:rFonts w:ascii="Garamond" w:eastAsia="Calibri" w:hAnsi="Garamond" w:cs="Times New Roman"/>
          <w:bCs/>
          <w:i/>
          <w:iCs/>
        </w:rPr>
        <w:t>(</w:t>
      </w:r>
      <w:proofErr w:type="spellStart"/>
      <w:r w:rsidRPr="001F1488">
        <w:rPr>
          <w:rFonts w:ascii="Garamond" w:eastAsia="Calibri" w:hAnsi="Garamond" w:cs="Times New Roman"/>
          <w:bCs/>
          <w:i/>
          <w:iCs/>
        </w:rPr>
        <w:t>Zea</w:t>
      </w:r>
      <w:proofErr w:type="spellEnd"/>
      <w:r w:rsidRPr="001F1488">
        <w:rPr>
          <w:rFonts w:ascii="Garamond" w:eastAsia="Calibri" w:hAnsi="Garamond" w:cs="Times New Roman"/>
          <w:bCs/>
          <w:i/>
          <w:iCs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Cs/>
          <w:i/>
          <w:iCs/>
        </w:rPr>
        <w:t>mays</w:t>
      </w:r>
      <w:proofErr w:type="spellEnd"/>
      <w:r w:rsidRPr="001F1488">
        <w:rPr>
          <w:rFonts w:ascii="Garamond" w:eastAsia="Calibri" w:hAnsi="Garamond" w:cs="Times New Roman"/>
          <w:bCs/>
          <w:i/>
          <w:iCs/>
        </w:rPr>
        <w:t xml:space="preserve"> L.)</w:t>
      </w:r>
      <w:r w:rsidRPr="001F1488">
        <w:rPr>
          <w:rFonts w:ascii="Garamond" w:eastAsia="Calibri" w:hAnsi="Garamond" w:cs="Times New Roman"/>
          <w:bCs/>
        </w:rPr>
        <w:t xml:space="preserve"> na cultura da soja. </w:t>
      </w:r>
      <w:r w:rsidRPr="001F1488">
        <w:rPr>
          <w:rFonts w:ascii="Garamond" w:eastAsia="Calibri" w:hAnsi="Garamond" w:cs="Times New Roman"/>
          <w:b/>
          <w:bCs/>
        </w:rPr>
        <w:t>In: Resultados de pesquisa: controle de plantas daninhas</w:t>
      </w:r>
      <w:r w:rsidRPr="001F1488">
        <w:rPr>
          <w:rFonts w:ascii="Garamond" w:eastAsia="Calibri" w:hAnsi="Garamond" w:cs="Times New Roman"/>
          <w:b/>
        </w:rPr>
        <w:t xml:space="preserve"> </w:t>
      </w:r>
      <w:r w:rsidRPr="001F1488">
        <w:rPr>
          <w:rFonts w:ascii="Garamond" w:eastAsia="Calibri" w:hAnsi="Garamond" w:cs="Times New Roman"/>
          <w:b/>
          <w:bCs/>
        </w:rPr>
        <w:t>1993 a 2008</w:t>
      </w:r>
      <w:r w:rsidRPr="001F1488">
        <w:rPr>
          <w:rFonts w:ascii="Garamond" w:eastAsia="Calibri" w:hAnsi="Garamond" w:cs="Times New Roman"/>
          <w:bCs/>
        </w:rPr>
        <w:t xml:space="preserve">. Cruz Alta: </w:t>
      </w:r>
      <w:proofErr w:type="spellStart"/>
      <w:r w:rsidRPr="001F1488">
        <w:rPr>
          <w:rFonts w:ascii="Garamond" w:eastAsia="Calibri" w:hAnsi="Garamond" w:cs="Times New Roman"/>
          <w:bCs/>
        </w:rPr>
        <w:t>Fundacep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Cs/>
        </w:rPr>
        <w:t>Fecotrigo</w:t>
      </w:r>
      <w:proofErr w:type="spellEnd"/>
      <w:r w:rsidRPr="001F1488">
        <w:rPr>
          <w:rFonts w:ascii="Garamond" w:eastAsia="Calibri" w:hAnsi="Garamond" w:cs="Times New Roman"/>
          <w:bCs/>
        </w:rPr>
        <w:t>, 2009.</w:t>
      </w:r>
    </w:p>
    <w:p w14:paraId="15CECF03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Cs/>
        </w:rPr>
      </w:pPr>
      <w:r w:rsidRPr="001F1488">
        <w:rPr>
          <w:rFonts w:ascii="Garamond" w:eastAsia="Calibri" w:hAnsi="Garamond" w:cs="Times New Roman"/>
          <w:bCs/>
          <w:lang w:val="en-US"/>
        </w:rPr>
        <w:t xml:space="preserve">BECKETT, T.H.; STOLLER, E.W. </w:t>
      </w:r>
      <w:r w:rsidRPr="001F1488">
        <w:rPr>
          <w:rFonts w:ascii="Garamond" w:eastAsia="Calibri" w:hAnsi="Garamond" w:cs="Times New Roman"/>
          <w:lang w:val="en-US"/>
        </w:rPr>
        <w:t>Volunteer corn (</w:t>
      </w:r>
      <w:proofErr w:type="spellStart"/>
      <w:r w:rsidRPr="001F1488">
        <w:rPr>
          <w:rFonts w:ascii="Garamond" w:eastAsia="Calibri" w:hAnsi="Garamond" w:cs="Times New Roman"/>
          <w:i/>
          <w:iCs/>
          <w:lang w:val="en-US"/>
        </w:rPr>
        <w:t>Zea</w:t>
      </w:r>
      <w:proofErr w:type="spellEnd"/>
      <w:r w:rsidRPr="001F1488">
        <w:rPr>
          <w:rFonts w:ascii="Garamond" w:eastAsia="Calibri" w:hAnsi="Garamond" w:cs="Times New Roman"/>
          <w:i/>
          <w:iCs/>
          <w:lang w:val="en-US"/>
        </w:rPr>
        <w:t xml:space="preserve"> mays</w:t>
      </w:r>
      <w:r w:rsidRPr="001F1488">
        <w:rPr>
          <w:rFonts w:ascii="Garamond" w:eastAsia="Calibri" w:hAnsi="Garamond" w:cs="Times New Roman"/>
          <w:lang w:val="en-US"/>
        </w:rPr>
        <w:t>) interference in soybeans (</w:t>
      </w:r>
      <w:r w:rsidRPr="001F1488">
        <w:rPr>
          <w:rFonts w:ascii="Garamond" w:eastAsia="Calibri" w:hAnsi="Garamond" w:cs="Times New Roman"/>
          <w:i/>
          <w:iCs/>
          <w:lang w:val="en-US"/>
        </w:rPr>
        <w:t>Glycine max</w:t>
      </w:r>
      <w:r w:rsidRPr="001F1488">
        <w:rPr>
          <w:rFonts w:ascii="Garamond" w:eastAsia="Calibri" w:hAnsi="Garamond" w:cs="Times New Roman"/>
          <w:lang w:val="en-US"/>
        </w:rPr>
        <w:t>).</w:t>
      </w:r>
      <w:r w:rsidRPr="001F1488">
        <w:rPr>
          <w:rFonts w:ascii="Garamond" w:eastAsia="Calibri" w:hAnsi="Garamond" w:cs="Times New Roman"/>
          <w:bCs/>
          <w:lang w:val="en-US"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/>
        </w:rPr>
        <w:t>Weed</w:t>
      </w:r>
      <w:proofErr w:type="spellEnd"/>
      <w:r w:rsidRPr="001F1488">
        <w:rPr>
          <w:rFonts w:ascii="Garamond" w:eastAsia="Calibri" w:hAnsi="Garamond" w:cs="Times New Roman"/>
          <w:b/>
        </w:rPr>
        <w:t xml:space="preserve"> Science</w:t>
      </w:r>
      <w:r w:rsidRPr="001F1488">
        <w:rPr>
          <w:rFonts w:ascii="Garamond" w:eastAsia="Calibri" w:hAnsi="Garamond" w:cs="Times New Roman"/>
        </w:rPr>
        <w:t>,</w:t>
      </w:r>
      <w:r w:rsidRPr="001F1488">
        <w:rPr>
          <w:rFonts w:ascii="Garamond" w:eastAsia="Calibri" w:hAnsi="Garamond" w:cs="Times New Roman"/>
          <w:bCs/>
        </w:rPr>
        <w:t xml:space="preserve"> v.36, p.159-166, 1988.</w:t>
      </w:r>
    </w:p>
    <w:p w14:paraId="3C123056" w14:textId="1E2BECAB" w:rsidR="009B2DF6" w:rsidRPr="001F1488" w:rsidRDefault="001F1488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  <w:lang w:val="en-US"/>
        </w:rPr>
      </w:pPr>
      <w:r>
        <w:rPr>
          <w:rFonts w:ascii="Garamond" w:eastAsia="Calibri" w:hAnsi="Garamond" w:cs="Times New Roman"/>
          <w:bCs/>
        </w:rPr>
        <w:t>CRUZ, M.,</w:t>
      </w:r>
      <w:r w:rsidR="009B2DF6" w:rsidRPr="001F1488">
        <w:rPr>
          <w:rFonts w:ascii="Garamond" w:eastAsia="Calibri" w:hAnsi="Garamond" w:cs="Times New Roman"/>
          <w:bCs/>
        </w:rPr>
        <w:t xml:space="preserve"> KARAM, D. (2004). Desenvolvimento inicial de plantas de milho em solo com concentrações de </w:t>
      </w:r>
      <w:proofErr w:type="spellStart"/>
      <w:r w:rsidR="009B2DF6" w:rsidRPr="001F1488">
        <w:rPr>
          <w:rFonts w:ascii="Garamond" w:eastAsia="Calibri" w:hAnsi="Garamond" w:cs="Times New Roman"/>
          <w:bCs/>
        </w:rPr>
        <w:t>diclosulam</w:t>
      </w:r>
      <w:proofErr w:type="spellEnd"/>
      <w:r w:rsidR="009B2DF6" w:rsidRPr="001F1488">
        <w:rPr>
          <w:rFonts w:ascii="Garamond" w:eastAsia="Calibri" w:hAnsi="Garamond" w:cs="Times New Roman"/>
          <w:bCs/>
        </w:rPr>
        <w:t xml:space="preserve">, semeadas em </w:t>
      </w:r>
      <w:r w:rsidR="009B2DF6" w:rsidRPr="001F1488">
        <w:rPr>
          <w:rFonts w:ascii="Garamond" w:eastAsia="Calibri" w:hAnsi="Garamond" w:cs="Times New Roman"/>
          <w:bCs/>
        </w:rPr>
        <w:t xml:space="preserve">diferentes épocas. In Embrapa Milho e Sorgo-Artigo em anais de congresso (ALICE). In: </w:t>
      </w:r>
      <w:r w:rsidRPr="001F1488">
        <w:rPr>
          <w:rFonts w:ascii="Garamond" w:eastAsia="Calibri" w:hAnsi="Garamond" w:cs="Times New Roman"/>
          <w:b/>
          <w:bCs/>
        </w:rPr>
        <w:t xml:space="preserve">Congresso nacional de milho e sorgo, 25.;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simposio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brasileiro sobre a lagarta-do-cartucho, </w:t>
      </w:r>
      <w:proofErr w:type="spellStart"/>
      <w:r w:rsidRPr="001F1488">
        <w:rPr>
          <w:rFonts w:ascii="Garamond" w:eastAsia="Calibri" w:hAnsi="Garamond" w:cs="Times New Roman"/>
          <w:b/>
          <w:bCs/>
          <w:i/>
        </w:rPr>
        <w:t>Spodoptera</w:t>
      </w:r>
      <w:proofErr w:type="spellEnd"/>
      <w:r w:rsidRPr="001F1488">
        <w:rPr>
          <w:rFonts w:ascii="Garamond" w:eastAsia="Calibri" w:hAnsi="Garamond" w:cs="Times New Roman"/>
          <w:b/>
          <w:bCs/>
          <w:i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/>
          <w:bCs/>
          <w:i/>
        </w:rPr>
        <w:t>frugiperda</w:t>
      </w:r>
      <w:proofErr w:type="spellEnd"/>
      <w:r w:rsidR="009B2DF6" w:rsidRPr="001F1488">
        <w:rPr>
          <w:rFonts w:ascii="Garamond" w:eastAsia="Calibri" w:hAnsi="Garamond" w:cs="Times New Roman"/>
          <w:b/>
          <w:bCs/>
        </w:rPr>
        <w:t>,</w:t>
      </w:r>
      <w:r w:rsidR="009B2DF6" w:rsidRPr="001F1488">
        <w:rPr>
          <w:rFonts w:ascii="Garamond" w:eastAsia="Calibri" w:hAnsi="Garamond" w:cs="Times New Roman"/>
          <w:bCs/>
        </w:rPr>
        <w:t xml:space="preserve"> 1., 2004, Cuiabá, MT. Da agricultura familiar ao agronegócio: tecnologia, competitividade e sustentabilidade: [resumos expandidos]. </w:t>
      </w:r>
      <w:r w:rsidR="009B2DF6" w:rsidRPr="001F1488">
        <w:rPr>
          <w:rFonts w:ascii="Garamond" w:eastAsia="Calibri" w:hAnsi="Garamond" w:cs="Times New Roman"/>
          <w:bCs/>
          <w:lang w:val="en-US"/>
        </w:rPr>
        <w:t xml:space="preserve">Sete </w:t>
      </w:r>
      <w:proofErr w:type="spellStart"/>
      <w:r w:rsidR="009B2DF6" w:rsidRPr="001F1488">
        <w:rPr>
          <w:rFonts w:ascii="Garamond" w:eastAsia="Calibri" w:hAnsi="Garamond" w:cs="Times New Roman"/>
          <w:bCs/>
          <w:lang w:val="en-US"/>
        </w:rPr>
        <w:t>Lagoas</w:t>
      </w:r>
      <w:proofErr w:type="spellEnd"/>
      <w:r w:rsidR="009B2DF6" w:rsidRPr="001F1488">
        <w:rPr>
          <w:rFonts w:ascii="Garamond" w:eastAsia="Calibri" w:hAnsi="Garamond" w:cs="Times New Roman"/>
          <w:bCs/>
          <w:lang w:val="en-US"/>
        </w:rPr>
        <w:t xml:space="preserve">: ABMS: Embrapa </w:t>
      </w:r>
      <w:proofErr w:type="spellStart"/>
      <w:r w:rsidR="009B2DF6" w:rsidRPr="001F1488">
        <w:rPr>
          <w:rFonts w:ascii="Garamond" w:eastAsia="Calibri" w:hAnsi="Garamond" w:cs="Times New Roman"/>
          <w:bCs/>
          <w:lang w:val="en-US"/>
        </w:rPr>
        <w:t>Milho</w:t>
      </w:r>
      <w:proofErr w:type="spellEnd"/>
      <w:r w:rsidR="009B2DF6" w:rsidRPr="001F1488">
        <w:rPr>
          <w:rFonts w:ascii="Garamond" w:eastAsia="Calibri" w:hAnsi="Garamond" w:cs="Times New Roman"/>
          <w:bCs/>
          <w:lang w:val="en-US"/>
        </w:rPr>
        <w:t xml:space="preserve"> e Sorgo; Cuiabá: </w:t>
      </w:r>
      <w:proofErr w:type="spellStart"/>
      <w:r w:rsidR="009B2DF6" w:rsidRPr="001F1488">
        <w:rPr>
          <w:rFonts w:ascii="Garamond" w:eastAsia="Calibri" w:hAnsi="Garamond" w:cs="Times New Roman"/>
          <w:bCs/>
          <w:lang w:val="en-US"/>
        </w:rPr>
        <w:t>Empaer</w:t>
      </w:r>
      <w:proofErr w:type="spellEnd"/>
      <w:r w:rsidR="009B2DF6" w:rsidRPr="001F1488">
        <w:rPr>
          <w:rFonts w:ascii="Garamond" w:eastAsia="Calibri" w:hAnsi="Garamond" w:cs="Times New Roman"/>
          <w:bCs/>
          <w:lang w:val="en-US"/>
        </w:rPr>
        <w:t>, 2004.</w:t>
      </w:r>
    </w:p>
    <w:p w14:paraId="2B7D43D5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hAnsi="Garamond" w:cs="Times New Roman"/>
          <w:shd w:val="clear" w:color="auto" w:fill="FFFFFF"/>
        </w:rPr>
      </w:pPr>
      <w:r w:rsidRPr="001F1488">
        <w:rPr>
          <w:rFonts w:ascii="Garamond" w:hAnsi="Garamond" w:cs="Times New Roman"/>
          <w:shd w:val="clear" w:color="auto" w:fill="FFFFFF"/>
        </w:rPr>
        <w:t xml:space="preserve">DEEN, W., HAMILL, A., SHROPSHIRE, C., SOLTANI, N., SIKKEMA, P. H. </w:t>
      </w:r>
      <w:proofErr w:type="spellStart"/>
      <w:r w:rsidRPr="001F1488">
        <w:rPr>
          <w:rFonts w:ascii="Garamond" w:hAnsi="Garamond" w:cs="Times New Roman"/>
          <w:shd w:val="clear" w:color="auto" w:fill="FFFFFF"/>
        </w:rPr>
        <w:t>Control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 </w:t>
      </w:r>
      <w:proofErr w:type="spellStart"/>
      <w:r w:rsidRPr="001F1488">
        <w:rPr>
          <w:rFonts w:ascii="Garamond" w:hAnsi="Garamond" w:cs="Times New Roman"/>
          <w:shd w:val="clear" w:color="auto" w:fill="FFFFFF"/>
        </w:rPr>
        <w:t>of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 </w:t>
      </w:r>
      <w:proofErr w:type="spellStart"/>
      <w:r w:rsidRPr="001F1488">
        <w:rPr>
          <w:rFonts w:ascii="Garamond" w:hAnsi="Garamond" w:cs="Times New Roman"/>
          <w:shd w:val="clear" w:color="auto" w:fill="FFFFFF"/>
        </w:rPr>
        <w:t>volunteer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 </w:t>
      </w:r>
      <w:proofErr w:type="spellStart"/>
      <w:r w:rsidRPr="001F1488">
        <w:rPr>
          <w:rFonts w:ascii="Garamond" w:hAnsi="Garamond" w:cs="Times New Roman"/>
          <w:shd w:val="clear" w:color="auto" w:fill="FFFFFF"/>
        </w:rPr>
        <w:t>glyphosate-resistant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 </w:t>
      </w:r>
      <w:proofErr w:type="spellStart"/>
      <w:r w:rsidRPr="001F1488">
        <w:rPr>
          <w:rFonts w:ascii="Garamond" w:hAnsi="Garamond" w:cs="Times New Roman"/>
          <w:shd w:val="clear" w:color="auto" w:fill="FFFFFF"/>
        </w:rPr>
        <w:t>corn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 (</w:t>
      </w:r>
      <w:proofErr w:type="spellStart"/>
      <w:r w:rsidRPr="001F1488">
        <w:rPr>
          <w:rFonts w:ascii="Garamond" w:hAnsi="Garamond" w:cs="Times New Roman"/>
          <w:i/>
          <w:shd w:val="clear" w:color="auto" w:fill="FFFFFF"/>
        </w:rPr>
        <w:t>Zea</w:t>
      </w:r>
      <w:proofErr w:type="spellEnd"/>
      <w:r w:rsidRPr="001F1488">
        <w:rPr>
          <w:rFonts w:ascii="Garamond" w:hAnsi="Garamond" w:cs="Times New Roman"/>
          <w:i/>
          <w:shd w:val="clear" w:color="auto" w:fill="FFFFFF"/>
        </w:rPr>
        <w:t xml:space="preserve"> </w:t>
      </w:r>
      <w:proofErr w:type="spellStart"/>
      <w:r w:rsidRPr="001F1488">
        <w:rPr>
          <w:rFonts w:ascii="Garamond" w:hAnsi="Garamond" w:cs="Times New Roman"/>
          <w:i/>
          <w:shd w:val="clear" w:color="auto" w:fill="FFFFFF"/>
        </w:rPr>
        <w:t>mays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) in </w:t>
      </w:r>
      <w:proofErr w:type="spellStart"/>
      <w:r w:rsidRPr="001F1488">
        <w:rPr>
          <w:rFonts w:ascii="Garamond" w:hAnsi="Garamond" w:cs="Times New Roman"/>
          <w:shd w:val="clear" w:color="auto" w:fill="FFFFFF"/>
        </w:rPr>
        <w:t>glyphosate-resistant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 </w:t>
      </w:r>
      <w:proofErr w:type="spellStart"/>
      <w:r w:rsidRPr="001F1488">
        <w:rPr>
          <w:rFonts w:ascii="Garamond" w:hAnsi="Garamond" w:cs="Times New Roman"/>
          <w:shd w:val="clear" w:color="auto" w:fill="FFFFFF"/>
        </w:rPr>
        <w:t>soybean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 (</w:t>
      </w:r>
      <w:proofErr w:type="spellStart"/>
      <w:r w:rsidRPr="001F1488">
        <w:rPr>
          <w:rFonts w:ascii="Garamond" w:hAnsi="Garamond" w:cs="Times New Roman"/>
          <w:i/>
          <w:shd w:val="clear" w:color="auto" w:fill="FFFFFF"/>
        </w:rPr>
        <w:t>Glycine</w:t>
      </w:r>
      <w:proofErr w:type="spellEnd"/>
      <w:r w:rsidRPr="001F1488">
        <w:rPr>
          <w:rFonts w:ascii="Garamond" w:hAnsi="Garamond" w:cs="Times New Roman"/>
          <w:i/>
          <w:shd w:val="clear" w:color="auto" w:fill="FFFFFF"/>
        </w:rPr>
        <w:t xml:space="preserve"> </w:t>
      </w:r>
      <w:proofErr w:type="spellStart"/>
      <w:r w:rsidRPr="001F1488">
        <w:rPr>
          <w:rFonts w:ascii="Garamond" w:hAnsi="Garamond" w:cs="Times New Roman"/>
          <w:i/>
          <w:shd w:val="clear" w:color="auto" w:fill="FFFFFF"/>
        </w:rPr>
        <w:t>max</w:t>
      </w:r>
      <w:proofErr w:type="spellEnd"/>
      <w:r w:rsidRPr="001F1488">
        <w:rPr>
          <w:rFonts w:ascii="Garamond" w:hAnsi="Garamond" w:cs="Times New Roman"/>
          <w:shd w:val="clear" w:color="auto" w:fill="FFFFFF"/>
        </w:rPr>
        <w:t xml:space="preserve">). </w:t>
      </w:r>
      <w:proofErr w:type="spellStart"/>
      <w:r w:rsidRPr="001F1488">
        <w:rPr>
          <w:rFonts w:ascii="Garamond" w:hAnsi="Garamond" w:cs="Times New Roman"/>
          <w:b/>
          <w:bCs/>
          <w:shd w:val="clear" w:color="auto" w:fill="FFFFFF"/>
        </w:rPr>
        <w:t>Weed</w:t>
      </w:r>
      <w:proofErr w:type="spellEnd"/>
      <w:r w:rsidRPr="001F1488">
        <w:rPr>
          <w:rFonts w:ascii="Garamond" w:hAnsi="Garamond" w:cs="Times New Roman"/>
          <w:b/>
          <w:bCs/>
          <w:shd w:val="clear" w:color="auto" w:fill="FFFFFF"/>
        </w:rPr>
        <w:t xml:space="preserve"> Technology</w:t>
      </w:r>
      <w:r w:rsidRPr="001F1488">
        <w:rPr>
          <w:rFonts w:ascii="Garamond" w:hAnsi="Garamond" w:cs="Times New Roman"/>
          <w:shd w:val="clear" w:color="auto" w:fill="FFFFFF"/>
        </w:rPr>
        <w:t>, v. 20, n. 1, p. 261-266, 2006.</w:t>
      </w:r>
    </w:p>
    <w:p w14:paraId="37DB3665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Cs/>
          <w:lang w:val="en-US"/>
        </w:rPr>
      </w:pPr>
      <w:r w:rsidRPr="001F1488">
        <w:rPr>
          <w:rFonts w:ascii="Garamond" w:eastAsia="Calibri" w:hAnsi="Garamond" w:cs="Times New Roman"/>
          <w:bCs/>
          <w:lang w:val="en-US"/>
        </w:rPr>
        <w:t xml:space="preserve">FRANS, R.E. </w:t>
      </w:r>
      <w:r w:rsidRPr="001F1488">
        <w:rPr>
          <w:rFonts w:ascii="Garamond" w:eastAsia="Calibri" w:hAnsi="Garamond" w:cs="Times New Roman"/>
          <w:b/>
          <w:bCs/>
          <w:lang w:val="en-US"/>
        </w:rPr>
        <w:t>Research methods in weed science</w:t>
      </w:r>
      <w:r w:rsidRPr="001F1488">
        <w:rPr>
          <w:rFonts w:ascii="Garamond" w:eastAsia="Calibri" w:hAnsi="Garamond" w:cs="Times New Roman"/>
          <w:bCs/>
          <w:lang w:val="en-US"/>
        </w:rPr>
        <w:t>. Southern Weed Science Society, 1972.</w:t>
      </w:r>
    </w:p>
    <w:p w14:paraId="60129976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hAnsi="Garamond"/>
        </w:rPr>
      </w:pPr>
      <w:r w:rsidRPr="001F1488">
        <w:rPr>
          <w:rFonts w:ascii="Garamond" w:hAnsi="Garamond"/>
        </w:rPr>
        <w:t xml:space="preserve">HEAP, I. </w:t>
      </w:r>
      <w:r w:rsidRPr="001F1488">
        <w:rPr>
          <w:rFonts w:ascii="Garamond" w:hAnsi="Garamond"/>
          <w:b/>
        </w:rPr>
        <w:t xml:space="preserve">The International </w:t>
      </w:r>
      <w:proofErr w:type="spellStart"/>
      <w:r w:rsidRPr="001F1488">
        <w:rPr>
          <w:rFonts w:ascii="Garamond" w:hAnsi="Garamond"/>
          <w:b/>
        </w:rPr>
        <w:t>Survey</w:t>
      </w:r>
      <w:proofErr w:type="spellEnd"/>
      <w:r w:rsidRPr="001F1488">
        <w:rPr>
          <w:rFonts w:ascii="Garamond" w:hAnsi="Garamond"/>
          <w:b/>
        </w:rPr>
        <w:t xml:space="preserve"> </w:t>
      </w:r>
      <w:proofErr w:type="spellStart"/>
      <w:r w:rsidRPr="001F1488">
        <w:rPr>
          <w:rFonts w:ascii="Garamond" w:hAnsi="Garamond"/>
          <w:b/>
        </w:rPr>
        <w:t>of</w:t>
      </w:r>
      <w:proofErr w:type="spellEnd"/>
      <w:r w:rsidRPr="001F1488">
        <w:rPr>
          <w:rFonts w:ascii="Garamond" w:hAnsi="Garamond"/>
          <w:b/>
        </w:rPr>
        <w:t xml:space="preserve"> </w:t>
      </w:r>
      <w:proofErr w:type="spellStart"/>
      <w:r w:rsidRPr="001F1488">
        <w:rPr>
          <w:rFonts w:ascii="Garamond" w:hAnsi="Garamond"/>
          <w:b/>
        </w:rPr>
        <w:t>Herbicide</w:t>
      </w:r>
      <w:proofErr w:type="spellEnd"/>
      <w:r w:rsidRPr="001F1488">
        <w:rPr>
          <w:rFonts w:ascii="Garamond" w:hAnsi="Garamond"/>
          <w:b/>
        </w:rPr>
        <w:t xml:space="preserve"> </w:t>
      </w:r>
      <w:proofErr w:type="spellStart"/>
      <w:r w:rsidRPr="001F1488">
        <w:rPr>
          <w:rFonts w:ascii="Garamond" w:hAnsi="Garamond"/>
          <w:b/>
        </w:rPr>
        <w:t>Resistant</w:t>
      </w:r>
      <w:proofErr w:type="spellEnd"/>
      <w:r w:rsidRPr="001F1488">
        <w:rPr>
          <w:rFonts w:ascii="Garamond" w:hAnsi="Garamond"/>
          <w:b/>
        </w:rPr>
        <w:t xml:space="preserve"> </w:t>
      </w:r>
      <w:proofErr w:type="spellStart"/>
      <w:r w:rsidRPr="001F1488">
        <w:rPr>
          <w:rFonts w:ascii="Garamond" w:hAnsi="Garamond"/>
          <w:b/>
        </w:rPr>
        <w:t>Weeds</w:t>
      </w:r>
      <w:proofErr w:type="spellEnd"/>
      <w:r w:rsidRPr="001F1488">
        <w:rPr>
          <w:rFonts w:ascii="Garamond" w:hAnsi="Garamond"/>
        </w:rPr>
        <w:t xml:space="preserve">. Disponível em: www.weedscience.com. Acesso em: 08 de Abril de 2020. </w:t>
      </w:r>
    </w:p>
    <w:p w14:paraId="10C56C52" w14:textId="331A3AFA" w:rsidR="009B2DF6" w:rsidRPr="001F1488" w:rsidRDefault="001F1488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hAnsi="Garamond" w:cs="Arial"/>
          <w:color w:val="222222"/>
          <w:shd w:val="clear" w:color="auto" w:fill="FFFFFF"/>
        </w:rPr>
        <w:t>LÓPEZ-OVEJERO, R. F., SOARES, D. J., OLIVEIRA, N. C., KAWAGUCHI, I. T., BERGER, G. U., CARVALHO, S. J. P. D., &amp; CHRISTOFFOLETI, P. J.</w:t>
      </w:r>
      <w:r w:rsidR="009B2DF6" w:rsidRPr="001F1488">
        <w:rPr>
          <w:rFonts w:ascii="Garamond" w:eastAsia="Calibri" w:hAnsi="Garamond" w:cs="Times New Roman"/>
          <w:bCs/>
          <w:lang w:val="en-US"/>
        </w:rPr>
        <w:t xml:space="preserve"> </w:t>
      </w:r>
      <w:r w:rsidR="009B2DF6" w:rsidRPr="001F1488">
        <w:rPr>
          <w:rFonts w:ascii="Garamond" w:eastAsia="Calibri" w:hAnsi="Garamond" w:cs="Times New Roman"/>
          <w:bCs/>
        </w:rPr>
        <w:t xml:space="preserve">Interferência e controle de milho voluntário tolerante ao glifosato na cultura da soja. </w:t>
      </w:r>
      <w:r w:rsidR="009B2DF6" w:rsidRPr="001F1488">
        <w:rPr>
          <w:rFonts w:ascii="Garamond" w:eastAsia="Calibri" w:hAnsi="Garamond" w:cs="Times New Roman"/>
          <w:b/>
          <w:bCs/>
        </w:rPr>
        <w:t>Pesquisa Agropecuária Brasileira</w:t>
      </w:r>
      <w:r w:rsidR="009B2DF6" w:rsidRPr="001F1488">
        <w:rPr>
          <w:rFonts w:ascii="Garamond" w:eastAsia="Calibri" w:hAnsi="Garamond" w:cs="Times New Roman"/>
          <w:bCs/>
        </w:rPr>
        <w:t>, v. 51, n. 4, p. 340-347, 2016.</w:t>
      </w:r>
    </w:p>
    <w:p w14:paraId="2B8A53F1" w14:textId="3615C64F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eastAsia="Calibri" w:hAnsi="Garamond" w:cs="Times New Roman"/>
          <w:bCs/>
        </w:rPr>
        <w:t>MACIEL, C. G. D.; Z</w:t>
      </w:r>
      <w:r w:rsidR="001F1488">
        <w:rPr>
          <w:rFonts w:ascii="Garamond" w:eastAsia="Calibri" w:hAnsi="Garamond" w:cs="Times New Roman"/>
          <w:bCs/>
        </w:rPr>
        <w:t>OBIOLE, L. H. S.; SOUZA, J. I.</w:t>
      </w:r>
      <w:r w:rsidRPr="001F1488">
        <w:rPr>
          <w:rFonts w:ascii="Garamond" w:eastAsia="Calibri" w:hAnsi="Garamond" w:cs="Times New Roman"/>
          <w:bCs/>
        </w:rPr>
        <w:t xml:space="preserve"> Eficácia do Herbicida </w:t>
      </w:r>
      <w:proofErr w:type="spellStart"/>
      <w:r w:rsidRPr="001F1488">
        <w:rPr>
          <w:rFonts w:ascii="Garamond" w:eastAsia="Calibri" w:hAnsi="Garamond" w:cs="Times New Roman"/>
          <w:bCs/>
        </w:rPr>
        <w:t>Haloxyfop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R (GR-142) Isolado e Associado ao 2,4-D no Controle de Híbridos de Milho RR® Voluntário. </w:t>
      </w:r>
      <w:r w:rsidRPr="001F1488">
        <w:rPr>
          <w:rFonts w:ascii="Garamond" w:eastAsia="Calibri" w:hAnsi="Garamond" w:cs="Times New Roman"/>
          <w:b/>
          <w:bCs/>
        </w:rPr>
        <w:t>Revista Brasileira de Herbicidas</w:t>
      </w:r>
      <w:r w:rsidRPr="001F1488">
        <w:rPr>
          <w:rFonts w:ascii="Garamond" w:eastAsia="Calibri" w:hAnsi="Garamond" w:cs="Times New Roman"/>
          <w:bCs/>
        </w:rPr>
        <w:t>, v.12, n.2, mai./ago. 2013, P.112-123.</w:t>
      </w:r>
    </w:p>
    <w:p w14:paraId="79E25CFC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eastAsia="Calibri" w:hAnsi="Garamond" w:cs="Times New Roman"/>
          <w:bCs/>
        </w:rPr>
        <w:t xml:space="preserve">PETTER, F.A.; SIMA, V.M.; FRAPORTI, M.B.; PEREIRA, C.S.; PROCÓPIO, S.O.; SILVA, A.F. </w:t>
      </w:r>
      <w:proofErr w:type="spellStart"/>
      <w:r w:rsidRPr="001F1488">
        <w:rPr>
          <w:rFonts w:ascii="Garamond" w:eastAsia="Calibri" w:hAnsi="Garamond" w:cs="Times New Roman"/>
          <w:bCs/>
        </w:rPr>
        <w:t>Volunteer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RR(r) </w:t>
      </w:r>
      <w:proofErr w:type="spellStart"/>
      <w:r w:rsidRPr="001F1488">
        <w:rPr>
          <w:rFonts w:ascii="Garamond" w:eastAsia="Calibri" w:hAnsi="Garamond" w:cs="Times New Roman"/>
          <w:bCs/>
        </w:rPr>
        <w:t>corn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management in </w:t>
      </w:r>
      <w:proofErr w:type="spellStart"/>
      <w:r w:rsidRPr="001F1488">
        <w:rPr>
          <w:rFonts w:ascii="Garamond" w:eastAsia="Calibri" w:hAnsi="Garamond" w:cs="Times New Roman"/>
          <w:bCs/>
        </w:rPr>
        <w:t>roundup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Cs/>
        </w:rPr>
        <w:t>ready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(r) </w:t>
      </w:r>
      <w:proofErr w:type="spellStart"/>
      <w:r w:rsidRPr="001F1488">
        <w:rPr>
          <w:rFonts w:ascii="Garamond" w:eastAsia="Calibri" w:hAnsi="Garamond" w:cs="Times New Roman"/>
          <w:bCs/>
        </w:rPr>
        <w:t>soybean-corn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</w:t>
      </w:r>
      <w:proofErr w:type="spellStart"/>
      <w:r w:rsidRPr="001F1488">
        <w:rPr>
          <w:rFonts w:ascii="Garamond" w:eastAsia="Calibri" w:hAnsi="Garamond" w:cs="Times New Roman"/>
          <w:bCs/>
        </w:rPr>
        <w:t>succession</w:t>
      </w:r>
      <w:proofErr w:type="spellEnd"/>
      <w:r w:rsidRPr="001F1488">
        <w:rPr>
          <w:rFonts w:ascii="Garamond" w:eastAsia="Calibri" w:hAnsi="Garamond" w:cs="Times New Roman"/>
          <w:bCs/>
        </w:rPr>
        <w:t xml:space="preserve"> system. </w:t>
      </w:r>
      <w:r w:rsidRPr="001F1488">
        <w:rPr>
          <w:rFonts w:ascii="Garamond" w:eastAsia="Calibri" w:hAnsi="Garamond" w:cs="Times New Roman"/>
          <w:b/>
        </w:rPr>
        <w:t>Planta Daninha</w:t>
      </w:r>
      <w:r w:rsidRPr="001F1488">
        <w:rPr>
          <w:rFonts w:ascii="Garamond" w:eastAsia="Calibri" w:hAnsi="Garamond" w:cs="Times New Roman"/>
          <w:bCs/>
        </w:rPr>
        <w:t>, v.33, p.119-128, 2015. DOI: 10.1590/S0100-83582015000100014.</w:t>
      </w:r>
    </w:p>
    <w:p w14:paraId="7969738C" w14:textId="77777777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  <w:lang w:val="en-US"/>
        </w:rPr>
      </w:pPr>
      <w:r w:rsidRPr="001F1488">
        <w:rPr>
          <w:rFonts w:ascii="Garamond" w:eastAsia="Calibri" w:hAnsi="Garamond" w:cs="Times New Roman"/>
          <w:bCs/>
        </w:rPr>
        <w:t xml:space="preserve">RODRIGUES, B. N.; ALMEIDA, F. S. </w:t>
      </w:r>
      <w:r w:rsidRPr="001F1488">
        <w:rPr>
          <w:rFonts w:ascii="Garamond" w:eastAsia="Calibri" w:hAnsi="Garamond" w:cs="Times New Roman"/>
          <w:b/>
          <w:bCs/>
        </w:rPr>
        <w:t>Guia de herbicidas</w:t>
      </w:r>
      <w:r w:rsidRPr="001F1488">
        <w:rPr>
          <w:rFonts w:ascii="Garamond" w:eastAsia="Calibri" w:hAnsi="Garamond" w:cs="Times New Roman"/>
          <w:bCs/>
        </w:rPr>
        <w:t xml:space="preserve">. </w:t>
      </w:r>
      <w:r w:rsidRPr="001F1488">
        <w:rPr>
          <w:rFonts w:ascii="Garamond" w:eastAsia="Calibri" w:hAnsi="Garamond" w:cs="Times New Roman"/>
          <w:bCs/>
          <w:lang w:val="en-US"/>
        </w:rPr>
        <w:t>5.ed. Londrina: 1998. 592 p.</w:t>
      </w:r>
    </w:p>
    <w:p w14:paraId="3A4E296E" w14:textId="16CC7E5C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eastAsia="Calibri" w:hAnsi="Garamond" w:cs="Times New Roman"/>
          <w:bCs/>
        </w:rPr>
        <w:t>SCHNEIDER, T</w:t>
      </w:r>
      <w:r w:rsidR="001F1488">
        <w:rPr>
          <w:rFonts w:ascii="Garamond" w:eastAsia="Calibri" w:hAnsi="Garamond" w:cs="Times New Roman"/>
          <w:bCs/>
        </w:rPr>
        <w:t>.</w:t>
      </w:r>
      <w:r w:rsidRPr="001F1488">
        <w:rPr>
          <w:rFonts w:ascii="Garamond" w:eastAsia="Calibri" w:hAnsi="Garamond" w:cs="Times New Roman"/>
          <w:bCs/>
        </w:rPr>
        <w:t>; ROCKENBACH, A</w:t>
      </w:r>
      <w:r w:rsidR="001F1488">
        <w:rPr>
          <w:rFonts w:ascii="Garamond" w:eastAsia="Calibri" w:hAnsi="Garamond" w:cs="Times New Roman"/>
          <w:bCs/>
        </w:rPr>
        <w:t>.</w:t>
      </w:r>
      <w:r w:rsidRPr="001F1488">
        <w:rPr>
          <w:rFonts w:ascii="Garamond" w:eastAsia="Calibri" w:hAnsi="Garamond" w:cs="Times New Roman"/>
          <w:bCs/>
        </w:rPr>
        <w:t xml:space="preserve"> P</w:t>
      </w:r>
      <w:r w:rsidR="001F1488">
        <w:rPr>
          <w:rFonts w:ascii="Garamond" w:eastAsia="Calibri" w:hAnsi="Garamond" w:cs="Times New Roman"/>
          <w:bCs/>
        </w:rPr>
        <w:t>.</w:t>
      </w:r>
      <w:r w:rsidRPr="001F1488">
        <w:rPr>
          <w:rFonts w:ascii="Garamond" w:eastAsia="Calibri" w:hAnsi="Garamond" w:cs="Times New Roman"/>
          <w:bCs/>
        </w:rPr>
        <w:t>; BIANCHI, A</w:t>
      </w:r>
      <w:r w:rsidR="001F1488">
        <w:rPr>
          <w:rFonts w:ascii="Garamond" w:eastAsia="Calibri" w:hAnsi="Garamond" w:cs="Times New Roman"/>
          <w:bCs/>
        </w:rPr>
        <w:t>.</w:t>
      </w:r>
      <w:r w:rsidRPr="001F1488">
        <w:rPr>
          <w:rFonts w:ascii="Garamond" w:eastAsia="Calibri" w:hAnsi="Garamond" w:cs="Times New Roman"/>
          <w:bCs/>
        </w:rPr>
        <w:t xml:space="preserve"> M. </w:t>
      </w:r>
      <w:r w:rsidRPr="001F1488">
        <w:rPr>
          <w:rFonts w:ascii="Garamond" w:eastAsia="Calibri" w:hAnsi="Garamond" w:cs="Times New Roman"/>
          <w:b/>
          <w:bCs/>
        </w:rPr>
        <w:t xml:space="preserve">Controle de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milhoresistente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ao glifosato com herbicidas inibidores </w:t>
      </w:r>
      <w:proofErr w:type="spellStart"/>
      <w:r w:rsidRPr="001F1488">
        <w:rPr>
          <w:rFonts w:ascii="Garamond" w:eastAsia="Calibri" w:hAnsi="Garamond" w:cs="Times New Roman"/>
          <w:b/>
          <w:bCs/>
        </w:rPr>
        <w:t>daenzima</w:t>
      </w:r>
      <w:proofErr w:type="spellEnd"/>
      <w:r w:rsidRPr="001F1488">
        <w:rPr>
          <w:rFonts w:ascii="Garamond" w:eastAsia="Calibri" w:hAnsi="Garamond" w:cs="Times New Roman"/>
          <w:b/>
          <w:bCs/>
        </w:rPr>
        <w:t xml:space="preserve"> acetil coenzima a carboxilase.</w:t>
      </w:r>
      <w:r w:rsidRPr="001F1488">
        <w:rPr>
          <w:rFonts w:ascii="Garamond" w:eastAsia="Calibri" w:hAnsi="Garamond" w:cs="Times New Roman"/>
          <w:bCs/>
        </w:rPr>
        <w:t xml:space="preserve"> 2011.Seminário, Universidade de </w:t>
      </w:r>
      <w:r w:rsidR="001F1488">
        <w:rPr>
          <w:rFonts w:ascii="Garamond" w:eastAsia="Calibri" w:hAnsi="Garamond" w:cs="Times New Roman"/>
          <w:bCs/>
        </w:rPr>
        <w:t>C</w:t>
      </w:r>
      <w:r w:rsidRPr="001F1488">
        <w:rPr>
          <w:rFonts w:ascii="Garamond" w:eastAsia="Calibri" w:hAnsi="Garamond" w:cs="Times New Roman"/>
          <w:bCs/>
        </w:rPr>
        <w:t xml:space="preserve">ruz </w:t>
      </w:r>
      <w:r w:rsidR="001F1488">
        <w:rPr>
          <w:rFonts w:ascii="Garamond" w:eastAsia="Calibri" w:hAnsi="Garamond" w:cs="Times New Roman"/>
          <w:bCs/>
        </w:rPr>
        <w:t>Al</w:t>
      </w:r>
      <w:r w:rsidRPr="001F1488">
        <w:rPr>
          <w:rFonts w:ascii="Garamond" w:eastAsia="Calibri" w:hAnsi="Garamond" w:cs="Times New Roman"/>
          <w:bCs/>
        </w:rPr>
        <w:t>ta, Cruz Alta,2011.</w:t>
      </w:r>
    </w:p>
    <w:p w14:paraId="5F6B5ACB" w14:textId="46662539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</w:rPr>
      </w:pPr>
      <w:r w:rsidRPr="001F1488">
        <w:rPr>
          <w:rFonts w:ascii="Garamond" w:eastAsia="Calibri" w:hAnsi="Garamond" w:cs="Times New Roman"/>
          <w:bCs/>
        </w:rPr>
        <w:lastRenderedPageBreak/>
        <w:t>SILVA, J., ALBERT</w:t>
      </w:r>
      <w:r w:rsidR="001F1488">
        <w:rPr>
          <w:rFonts w:ascii="Garamond" w:eastAsia="Calibri" w:hAnsi="Garamond" w:cs="Times New Roman"/>
          <w:bCs/>
        </w:rPr>
        <w:t>INO, S., BUENO, C., SOUZA, A.,</w:t>
      </w:r>
      <w:r w:rsidRPr="001F1488">
        <w:rPr>
          <w:rFonts w:ascii="Garamond" w:eastAsia="Calibri" w:hAnsi="Garamond" w:cs="Times New Roman"/>
          <w:bCs/>
        </w:rPr>
        <w:t xml:space="preserve"> SOUZA, L. (2010). Efeito de herbicidas no controle de plantas daninhas e nas características fisiológicas do cupuaçuzeiro. In Embrapa Amazônia Ocidental-Artigo em anais de congresso (ALICE). In: CONGRESSO BRASILEIRO DA CIÊNCIA DAS PLANTAS DANINHAS, 27., 2010, Ribeirão Preto. Responsabilidade social e ambiental no manejo de plantas daninhas. Ribeirão Pr</w:t>
      </w:r>
      <w:r w:rsidRPr="001F1488">
        <w:rPr>
          <w:rFonts w:ascii="Garamond" w:eastAsia="Calibri" w:hAnsi="Garamond" w:cs="Times New Roman"/>
          <w:b/>
          <w:bCs/>
        </w:rPr>
        <w:t>eto: SBCPD, 2010. p. 2726-2729.</w:t>
      </w:r>
    </w:p>
    <w:p w14:paraId="3B67498D" w14:textId="06D894B2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/>
          <w:bCs/>
          <w:lang w:val="en-US"/>
        </w:rPr>
      </w:pPr>
      <w:r w:rsidRPr="001F1488">
        <w:rPr>
          <w:rFonts w:ascii="Garamond" w:eastAsia="Calibri" w:hAnsi="Garamond" w:cs="Times New Roman"/>
          <w:bCs/>
        </w:rPr>
        <w:t>SILVA, V. L., ROD</w:t>
      </w:r>
      <w:r w:rsidR="001F1488">
        <w:rPr>
          <w:rFonts w:ascii="Garamond" w:eastAsia="Calibri" w:hAnsi="Garamond" w:cs="Times New Roman"/>
          <w:bCs/>
        </w:rPr>
        <w:t>RIGUES, L. M., LIMA, V. M. M., FERREIRA, J. O</w:t>
      </w:r>
      <w:r w:rsidRPr="001F1488">
        <w:rPr>
          <w:rFonts w:ascii="Garamond" w:eastAsia="Calibri" w:hAnsi="Garamond" w:cs="Times New Roman"/>
          <w:bCs/>
        </w:rPr>
        <w:t xml:space="preserve">. </w:t>
      </w:r>
      <w:r w:rsidRPr="001F1488">
        <w:rPr>
          <w:rFonts w:ascii="Garamond" w:eastAsia="Calibri" w:hAnsi="Garamond" w:cs="Times New Roman"/>
          <w:bCs/>
          <w:lang w:val="en-US"/>
        </w:rPr>
        <w:t xml:space="preserve">Herbicides </w:t>
      </w:r>
      <w:proofErr w:type="spellStart"/>
      <w:r w:rsidRPr="001F1488">
        <w:rPr>
          <w:rFonts w:ascii="Garamond" w:eastAsia="Calibri" w:hAnsi="Garamond" w:cs="Times New Roman"/>
          <w:bCs/>
          <w:lang w:val="en-US"/>
        </w:rPr>
        <w:t>ACCase</w:t>
      </w:r>
      <w:proofErr w:type="spellEnd"/>
      <w:r w:rsidRPr="001F1488">
        <w:rPr>
          <w:rFonts w:ascii="Garamond" w:eastAsia="Calibri" w:hAnsi="Garamond" w:cs="Times New Roman"/>
          <w:bCs/>
          <w:lang w:val="en-US"/>
        </w:rPr>
        <w:t xml:space="preserve"> interaction and ALS with glyphosate on corn </w:t>
      </w:r>
      <w:proofErr w:type="spellStart"/>
      <w:r w:rsidRPr="001F1488">
        <w:rPr>
          <w:rFonts w:ascii="Garamond" w:eastAsia="Calibri" w:hAnsi="Garamond" w:cs="Times New Roman"/>
          <w:bCs/>
          <w:lang w:val="en-US"/>
        </w:rPr>
        <w:t>tiguera</w:t>
      </w:r>
      <w:proofErr w:type="spellEnd"/>
      <w:r w:rsidRPr="001F1488">
        <w:rPr>
          <w:rFonts w:ascii="Garamond" w:eastAsia="Calibri" w:hAnsi="Garamond" w:cs="Times New Roman"/>
          <w:bCs/>
          <w:lang w:val="en-US"/>
        </w:rPr>
        <w:t xml:space="preserve"> control RR. </w:t>
      </w:r>
      <w:r w:rsidRPr="001F1488">
        <w:rPr>
          <w:rFonts w:ascii="Garamond" w:eastAsia="Calibri" w:hAnsi="Garamond" w:cs="Times New Roman"/>
          <w:b/>
          <w:bCs/>
          <w:lang w:val="en-US"/>
        </w:rPr>
        <w:t>Scientific Electronic Archives</w:t>
      </w:r>
      <w:r w:rsidRPr="001F1488">
        <w:rPr>
          <w:rFonts w:ascii="Garamond" w:eastAsia="Calibri" w:hAnsi="Garamond" w:cs="Times New Roman"/>
          <w:bCs/>
          <w:lang w:val="en-US"/>
        </w:rPr>
        <w:t>,</w:t>
      </w:r>
      <w:r w:rsidR="001F1488">
        <w:rPr>
          <w:rFonts w:ascii="Garamond" w:eastAsia="Calibri" w:hAnsi="Garamond" w:cs="Times New Roman"/>
          <w:bCs/>
          <w:lang w:val="en-US"/>
        </w:rPr>
        <w:t xml:space="preserve"> 2018,</w:t>
      </w:r>
      <w:r w:rsidRPr="001F1488">
        <w:rPr>
          <w:rFonts w:ascii="Garamond" w:eastAsia="Calibri" w:hAnsi="Garamond" w:cs="Times New Roman"/>
          <w:bCs/>
          <w:lang w:val="en-US"/>
        </w:rPr>
        <w:t xml:space="preserve"> 11(4), 24-30.</w:t>
      </w:r>
    </w:p>
    <w:p w14:paraId="1EF50F06" w14:textId="5A22FFF6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eastAsia="Calibri" w:hAnsi="Garamond" w:cs="Times New Roman"/>
          <w:bCs/>
          <w:lang w:val="en-US"/>
        </w:rPr>
      </w:pPr>
      <w:r w:rsidRPr="001F1488">
        <w:rPr>
          <w:rFonts w:ascii="Garamond" w:eastAsia="Calibri" w:hAnsi="Garamond" w:cs="Times New Roman"/>
          <w:bCs/>
          <w:lang w:val="en-US"/>
        </w:rPr>
        <w:t xml:space="preserve">STEPHENSON, G. R.; FERRIS, I. G.; HOLLAND, P. T.; NORDBERG, M. Glossary of terms relating to pesticides (IUPAC Recommendations 2006). </w:t>
      </w:r>
      <w:r w:rsidRPr="001F1488">
        <w:rPr>
          <w:rFonts w:ascii="Garamond" w:eastAsia="Calibri" w:hAnsi="Garamond" w:cs="Times New Roman"/>
          <w:b/>
          <w:bCs/>
          <w:lang w:val="en-US"/>
        </w:rPr>
        <w:t>Pure and Applied Chemistry</w:t>
      </w:r>
      <w:r w:rsidRPr="001F1488">
        <w:rPr>
          <w:rFonts w:ascii="Garamond" w:eastAsia="Calibri" w:hAnsi="Garamond" w:cs="Times New Roman"/>
          <w:bCs/>
          <w:lang w:val="en-US"/>
        </w:rPr>
        <w:t>, v. 78, n. 11, p. 2075-2154, 2006.</w:t>
      </w:r>
    </w:p>
    <w:p w14:paraId="60642E7A" w14:textId="0071FBF4" w:rsidR="009B2DF6" w:rsidRPr="001F1488" w:rsidRDefault="001F1488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hAnsi="Garamond"/>
        </w:rPr>
      </w:pPr>
      <w:r w:rsidRPr="001F1488">
        <w:rPr>
          <w:rFonts w:ascii="Garamond" w:hAnsi="Garamond"/>
        </w:rPr>
        <w:t xml:space="preserve">SUYAL, A.; CHAUHAN, S.S.; SRIVASTAVA, A.; SRIVASTAVA, P.C. </w:t>
      </w:r>
      <w:proofErr w:type="spellStart"/>
      <w:r w:rsidR="009B2DF6" w:rsidRPr="001F1488">
        <w:rPr>
          <w:rFonts w:ascii="Garamond" w:hAnsi="Garamond"/>
        </w:rPr>
        <w:t>Adsorption-desorption</w:t>
      </w:r>
      <w:proofErr w:type="spellEnd"/>
      <w:r w:rsidR="009B2DF6" w:rsidRPr="001F1488">
        <w:rPr>
          <w:rFonts w:ascii="Garamond" w:hAnsi="Garamond"/>
        </w:rPr>
        <w:t xml:space="preserve"> </w:t>
      </w:r>
      <w:proofErr w:type="spellStart"/>
      <w:r w:rsidR="009B2DF6" w:rsidRPr="001F1488">
        <w:rPr>
          <w:rFonts w:ascii="Garamond" w:hAnsi="Garamond"/>
        </w:rPr>
        <w:t>behavior</w:t>
      </w:r>
      <w:proofErr w:type="spellEnd"/>
      <w:r w:rsidR="009B2DF6" w:rsidRPr="001F1488">
        <w:rPr>
          <w:rFonts w:ascii="Garamond" w:hAnsi="Garamond"/>
        </w:rPr>
        <w:t xml:space="preserve"> </w:t>
      </w:r>
      <w:proofErr w:type="spellStart"/>
      <w:r w:rsidR="009B2DF6" w:rsidRPr="001F1488">
        <w:rPr>
          <w:rFonts w:ascii="Garamond" w:hAnsi="Garamond"/>
        </w:rPr>
        <w:t>of</w:t>
      </w:r>
      <w:proofErr w:type="spellEnd"/>
      <w:r w:rsidR="009B2DF6" w:rsidRPr="001F1488">
        <w:rPr>
          <w:rFonts w:ascii="Garamond" w:hAnsi="Garamond"/>
        </w:rPr>
        <w:t xml:space="preserve"> </w:t>
      </w:r>
      <w:proofErr w:type="spellStart"/>
      <w:r w:rsidR="009B2DF6" w:rsidRPr="001F1488">
        <w:rPr>
          <w:rFonts w:ascii="Garamond" w:hAnsi="Garamond"/>
        </w:rPr>
        <w:t>chlorimuron-ethyl</w:t>
      </w:r>
      <w:proofErr w:type="spellEnd"/>
      <w:r w:rsidR="009B2DF6" w:rsidRPr="001F1488">
        <w:rPr>
          <w:rFonts w:ascii="Garamond" w:hAnsi="Garamond"/>
        </w:rPr>
        <w:t xml:space="preserve"> </w:t>
      </w:r>
      <w:proofErr w:type="spellStart"/>
      <w:r w:rsidR="009B2DF6" w:rsidRPr="001F1488">
        <w:rPr>
          <w:rFonts w:ascii="Garamond" w:hAnsi="Garamond"/>
        </w:rPr>
        <w:t>herbicide</w:t>
      </w:r>
      <w:proofErr w:type="spellEnd"/>
      <w:r w:rsidR="009B2DF6" w:rsidRPr="001F1488">
        <w:rPr>
          <w:rFonts w:ascii="Garamond" w:hAnsi="Garamond"/>
        </w:rPr>
        <w:t xml:space="preserve"> </w:t>
      </w:r>
      <w:proofErr w:type="spellStart"/>
      <w:r w:rsidR="009B2DF6" w:rsidRPr="001F1488">
        <w:rPr>
          <w:rFonts w:ascii="Garamond" w:hAnsi="Garamond"/>
        </w:rPr>
        <w:t>on</w:t>
      </w:r>
      <w:proofErr w:type="spellEnd"/>
      <w:r w:rsidR="009B2DF6" w:rsidRPr="001F1488">
        <w:rPr>
          <w:rFonts w:ascii="Garamond" w:hAnsi="Garamond"/>
        </w:rPr>
        <w:t xml:space="preserve"> </w:t>
      </w:r>
      <w:proofErr w:type="spellStart"/>
      <w:r w:rsidR="009B2DF6" w:rsidRPr="001F1488">
        <w:rPr>
          <w:rFonts w:ascii="Garamond" w:hAnsi="Garamond"/>
        </w:rPr>
        <w:t>homoionic</w:t>
      </w:r>
      <w:proofErr w:type="spellEnd"/>
      <w:r w:rsidR="009B2DF6" w:rsidRPr="001F1488">
        <w:rPr>
          <w:rFonts w:ascii="Garamond" w:hAnsi="Garamond"/>
        </w:rPr>
        <w:t xml:space="preserve"> </w:t>
      </w:r>
      <w:proofErr w:type="spellStart"/>
      <w:r w:rsidR="009B2DF6" w:rsidRPr="001F1488">
        <w:rPr>
          <w:rFonts w:ascii="Garamond" w:hAnsi="Garamond"/>
        </w:rPr>
        <w:t>clays</w:t>
      </w:r>
      <w:proofErr w:type="spellEnd"/>
      <w:r w:rsidR="009B2DF6" w:rsidRPr="001F1488">
        <w:rPr>
          <w:rFonts w:ascii="Garamond" w:hAnsi="Garamond"/>
        </w:rPr>
        <w:t xml:space="preserve">. </w:t>
      </w:r>
      <w:proofErr w:type="spellStart"/>
      <w:r w:rsidR="009B2DF6" w:rsidRPr="001F1488">
        <w:rPr>
          <w:rFonts w:ascii="Garamond" w:hAnsi="Garamond"/>
          <w:b/>
          <w:bCs/>
        </w:rPr>
        <w:t>Eurasian</w:t>
      </w:r>
      <w:proofErr w:type="spellEnd"/>
      <w:r w:rsidR="009B2DF6" w:rsidRPr="001F1488">
        <w:rPr>
          <w:rFonts w:ascii="Garamond" w:hAnsi="Garamond"/>
          <w:b/>
          <w:bCs/>
        </w:rPr>
        <w:t xml:space="preserve"> Journal </w:t>
      </w:r>
      <w:proofErr w:type="spellStart"/>
      <w:r w:rsidR="009B2DF6" w:rsidRPr="001F1488">
        <w:rPr>
          <w:rFonts w:ascii="Garamond" w:hAnsi="Garamond"/>
          <w:b/>
          <w:bCs/>
        </w:rPr>
        <w:t>of</w:t>
      </w:r>
      <w:proofErr w:type="spellEnd"/>
      <w:r w:rsidR="009B2DF6" w:rsidRPr="001F1488">
        <w:rPr>
          <w:rFonts w:ascii="Garamond" w:hAnsi="Garamond"/>
          <w:b/>
          <w:bCs/>
        </w:rPr>
        <w:t xml:space="preserve"> </w:t>
      </w:r>
      <w:proofErr w:type="spellStart"/>
      <w:r w:rsidR="009B2DF6" w:rsidRPr="001F1488">
        <w:rPr>
          <w:rFonts w:ascii="Garamond" w:hAnsi="Garamond"/>
          <w:b/>
          <w:bCs/>
        </w:rPr>
        <w:t>Soil</w:t>
      </w:r>
      <w:proofErr w:type="spellEnd"/>
      <w:r w:rsidR="009B2DF6" w:rsidRPr="001F1488">
        <w:rPr>
          <w:rFonts w:ascii="Garamond" w:hAnsi="Garamond"/>
          <w:b/>
          <w:bCs/>
        </w:rPr>
        <w:t xml:space="preserve"> Science</w:t>
      </w:r>
      <w:r w:rsidR="009B2DF6" w:rsidRPr="001F1488">
        <w:rPr>
          <w:rFonts w:ascii="Garamond" w:hAnsi="Garamond"/>
        </w:rPr>
        <w:t xml:space="preserve">, v.2, p.28-24, 2013. </w:t>
      </w:r>
    </w:p>
    <w:p w14:paraId="7505449B" w14:textId="77777777" w:rsidR="00B209A9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hAnsi="Garamond" w:cs="Arial"/>
          <w:shd w:val="clear" w:color="auto" w:fill="FFFFFF"/>
        </w:rPr>
        <w:sectPr w:rsidR="00B209A9" w:rsidSect="00A94056">
          <w:headerReference w:type="default" r:id="rId10"/>
          <w:type w:val="continuous"/>
          <w:pgSz w:w="11906" w:h="16838"/>
          <w:pgMar w:top="1134" w:right="1134" w:bottom="1134" w:left="1134" w:header="709" w:footer="709" w:gutter="0"/>
          <w:cols w:num="2" w:space="282"/>
          <w:docGrid w:linePitch="360"/>
        </w:sectPr>
      </w:pPr>
      <w:r w:rsidRPr="001F1488">
        <w:rPr>
          <w:rFonts w:ascii="Garamond" w:hAnsi="Garamond" w:cs="Arial"/>
          <w:shd w:val="clear" w:color="auto" w:fill="FFFFFF"/>
        </w:rPr>
        <w:t>VOLL, E., GAZZIERO, D. L. P., BRIGHENTI, A. A. M., ADEGAS, F. S. Competição relativa de espécies de plantas daninhas com dois cultivares de soja. </w:t>
      </w:r>
      <w:r w:rsidRPr="001F1488">
        <w:rPr>
          <w:rFonts w:ascii="Garamond" w:hAnsi="Garamond" w:cs="Arial"/>
          <w:b/>
          <w:bCs/>
          <w:shd w:val="clear" w:color="auto" w:fill="FFFFFF"/>
        </w:rPr>
        <w:t>Planta Daninha</w:t>
      </w:r>
      <w:r w:rsidRPr="001F1488">
        <w:rPr>
          <w:rFonts w:ascii="Garamond" w:hAnsi="Garamond" w:cs="Arial"/>
          <w:shd w:val="clear" w:color="auto" w:fill="FFFFFF"/>
        </w:rPr>
        <w:t>, v. 20, n. 1, p. 17-24, 2002.</w:t>
      </w:r>
      <w:bookmarkEnd w:id="3"/>
      <w:bookmarkEnd w:id="4"/>
      <w:bookmarkEnd w:id="5"/>
      <w:bookmarkEnd w:id="6"/>
    </w:p>
    <w:p w14:paraId="5B612877" w14:textId="35C8D7A2" w:rsidR="009B2DF6" w:rsidRPr="001F1488" w:rsidRDefault="009B2DF6" w:rsidP="00B209A9">
      <w:pPr>
        <w:spacing w:before="100" w:beforeAutospacing="1" w:after="100" w:afterAutospacing="1" w:line="240" w:lineRule="auto"/>
        <w:ind w:left="567" w:hanging="567"/>
        <w:jc w:val="both"/>
        <w:rPr>
          <w:rFonts w:ascii="Garamond" w:hAnsi="Garamond"/>
        </w:rPr>
      </w:pPr>
    </w:p>
    <w:sectPr w:rsidR="009B2DF6" w:rsidRPr="001F1488" w:rsidSect="00A94056">
      <w:type w:val="continuous"/>
      <w:pgSz w:w="11906" w:h="16838"/>
      <w:pgMar w:top="1134" w:right="1134" w:bottom="1134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90D9" w14:textId="77777777" w:rsidR="00DF1A1A" w:rsidRDefault="00DF1A1A" w:rsidP="00B56730">
      <w:pPr>
        <w:spacing w:after="0" w:line="240" w:lineRule="auto"/>
      </w:pPr>
      <w:r>
        <w:separator/>
      </w:r>
    </w:p>
  </w:endnote>
  <w:endnote w:type="continuationSeparator" w:id="0">
    <w:p w14:paraId="46E788AB" w14:textId="77777777" w:rsidR="00DF1A1A" w:rsidRDefault="00DF1A1A" w:rsidP="00B5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AD62" w14:textId="7E8D6756" w:rsidR="00B56730" w:rsidRDefault="00B56730" w:rsidP="0082198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60FF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9D2A" w14:textId="77777777" w:rsidR="00DF1A1A" w:rsidRDefault="00DF1A1A" w:rsidP="00B56730">
      <w:pPr>
        <w:spacing w:after="0" w:line="240" w:lineRule="auto"/>
      </w:pPr>
      <w:r>
        <w:separator/>
      </w:r>
    </w:p>
  </w:footnote>
  <w:footnote w:type="continuationSeparator" w:id="0">
    <w:p w14:paraId="24CDCB99" w14:textId="77777777" w:rsidR="00DF1A1A" w:rsidRDefault="00DF1A1A" w:rsidP="00B5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E09B" w14:textId="74E38B0F" w:rsidR="00B56730" w:rsidRPr="00F92DA0" w:rsidRDefault="00760FF9" w:rsidP="00B56730">
    <w:pPr>
      <w:pStyle w:val="Cabealho"/>
      <w:jc w:val="center"/>
      <w:rPr>
        <w:color w:val="000000" w:themeColor="text1"/>
        <w:w w:val="115"/>
        <w:sz w:val="14"/>
        <w:szCs w:val="14"/>
      </w:rPr>
    </w:pPr>
    <w:r>
      <w:rPr>
        <w:color w:val="000000" w:themeColor="text1"/>
        <w:w w:val="115"/>
        <w:sz w:val="14"/>
        <w:szCs w:val="14"/>
      </w:rPr>
      <w:t>Souza</w:t>
    </w:r>
    <w:r w:rsidR="00B56730" w:rsidRPr="00F92DA0">
      <w:rPr>
        <w:color w:val="000000" w:themeColor="text1"/>
        <w:w w:val="115"/>
        <w:sz w:val="14"/>
        <w:szCs w:val="14"/>
      </w:rPr>
      <w:t xml:space="preserve"> </w:t>
    </w:r>
    <w:r w:rsidR="00974F0B" w:rsidRPr="00974F0B">
      <w:rPr>
        <w:i/>
        <w:color w:val="000000" w:themeColor="text1"/>
        <w:w w:val="115"/>
        <w:sz w:val="14"/>
        <w:szCs w:val="14"/>
      </w:rPr>
      <w:t>et al</w:t>
    </w:r>
    <w:r w:rsidR="00657ABD" w:rsidRPr="00F92DA0">
      <w:rPr>
        <w:color w:val="000000" w:themeColor="text1"/>
        <w:w w:val="115"/>
        <w:sz w:val="14"/>
        <w:szCs w:val="14"/>
      </w:rPr>
      <w:t xml:space="preserve"> -</w:t>
    </w:r>
    <w:r w:rsidR="00B56730" w:rsidRPr="00F92DA0">
      <w:rPr>
        <w:color w:val="000000" w:themeColor="text1"/>
        <w:w w:val="115"/>
        <w:sz w:val="14"/>
        <w:szCs w:val="14"/>
      </w:rPr>
      <w:t xml:space="preserve"> Ipê </w:t>
    </w:r>
    <w:proofErr w:type="spellStart"/>
    <w:r w:rsidR="00B56730" w:rsidRPr="00F92DA0">
      <w:rPr>
        <w:color w:val="000000" w:themeColor="text1"/>
        <w:w w:val="115"/>
        <w:sz w:val="14"/>
        <w:szCs w:val="14"/>
      </w:rPr>
      <w:t>Agronomic</w:t>
    </w:r>
    <w:proofErr w:type="spellEnd"/>
    <w:r w:rsidR="00B56730" w:rsidRPr="00F92DA0">
      <w:rPr>
        <w:color w:val="000000" w:themeColor="text1"/>
        <w:w w:val="115"/>
        <w:sz w:val="14"/>
        <w:szCs w:val="14"/>
      </w:rPr>
      <w:t xml:space="preserve"> Journal – </w:t>
    </w:r>
    <w:r w:rsidR="00AB19F5" w:rsidRPr="00F92DA0">
      <w:rPr>
        <w:color w:val="000000" w:themeColor="text1"/>
        <w:w w:val="115"/>
        <w:sz w:val="14"/>
        <w:szCs w:val="14"/>
      </w:rPr>
      <w:t>V.</w:t>
    </w:r>
    <w:r w:rsidR="00F92DA0">
      <w:rPr>
        <w:color w:val="000000" w:themeColor="text1"/>
        <w:w w:val="115"/>
        <w:sz w:val="14"/>
        <w:szCs w:val="14"/>
      </w:rPr>
      <w:t>5</w:t>
    </w:r>
    <w:r w:rsidR="00523E02" w:rsidRPr="00F92DA0">
      <w:rPr>
        <w:color w:val="000000" w:themeColor="text1"/>
        <w:w w:val="115"/>
        <w:sz w:val="14"/>
        <w:szCs w:val="14"/>
      </w:rPr>
      <w:t xml:space="preserve"> N.</w:t>
    </w:r>
    <w:proofErr w:type="gramStart"/>
    <w:r w:rsidR="00F92DA0">
      <w:rPr>
        <w:color w:val="000000" w:themeColor="text1"/>
        <w:w w:val="115"/>
        <w:sz w:val="14"/>
        <w:szCs w:val="14"/>
      </w:rPr>
      <w:t>1</w:t>
    </w:r>
    <w:r w:rsidR="005E73EB" w:rsidRPr="00F92DA0">
      <w:rPr>
        <w:color w:val="000000" w:themeColor="text1"/>
        <w:w w:val="115"/>
        <w:sz w:val="14"/>
        <w:szCs w:val="14"/>
      </w:rPr>
      <w:t xml:space="preserve"> </w:t>
    </w:r>
    <w:r w:rsidR="00E3119C" w:rsidRPr="00F92DA0">
      <w:rPr>
        <w:color w:val="000000" w:themeColor="text1"/>
        <w:w w:val="115"/>
        <w:sz w:val="14"/>
        <w:szCs w:val="14"/>
      </w:rPr>
      <w:t xml:space="preserve"> –</w:t>
    </w:r>
    <w:proofErr w:type="gramEnd"/>
    <w:r w:rsidR="00E3119C" w:rsidRPr="00F92DA0">
      <w:rPr>
        <w:color w:val="000000" w:themeColor="text1"/>
        <w:w w:val="115"/>
        <w:sz w:val="14"/>
        <w:szCs w:val="14"/>
      </w:rPr>
      <w:t xml:space="preserve"> (20</w:t>
    </w:r>
    <w:r w:rsidR="00A86CC0" w:rsidRPr="00F92DA0">
      <w:rPr>
        <w:color w:val="000000" w:themeColor="text1"/>
        <w:w w:val="115"/>
        <w:sz w:val="14"/>
        <w:szCs w:val="14"/>
      </w:rPr>
      <w:t>2</w:t>
    </w:r>
    <w:r w:rsidR="00F92DA0">
      <w:rPr>
        <w:color w:val="000000" w:themeColor="text1"/>
        <w:w w:val="115"/>
        <w:sz w:val="14"/>
        <w:szCs w:val="14"/>
      </w:rPr>
      <w:t>1</w:t>
    </w:r>
    <w:r w:rsidR="00523E02" w:rsidRPr="00F92DA0">
      <w:rPr>
        <w:color w:val="000000" w:themeColor="text1"/>
        <w:w w:val="115"/>
        <w:sz w:val="14"/>
        <w:szCs w:val="14"/>
      </w:rPr>
      <w:t xml:space="preserve">) </w:t>
    </w:r>
    <w:r w:rsidR="00A86CC0" w:rsidRPr="00F92DA0">
      <w:rPr>
        <w:color w:val="000000" w:themeColor="text1"/>
        <w:w w:val="115"/>
        <w:sz w:val="14"/>
        <w:szCs w:val="14"/>
      </w:rPr>
      <w:t>1</w:t>
    </w:r>
    <w:r w:rsidR="00B56730" w:rsidRPr="00F92DA0">
      <w:rPr>
        <w:color w:val="000000" w:themeColor="text1"/>
        <w:w w:val="115"/>
        <w:sz w:val="14"/>
        <w:szCs w:val="14"/>
      </w:rPr>
      <w:t xml:space="preserve"> – </w:t>
    </w:r>
    <w:r w:rsidR="00B209A9">
      <w:rPr>
        <w:color w:val="000000" w:themeColor="text1"/>
        <w:w w:val="115"/>
        <w:sz w:val="14"/>
        <w:szCs w:val="14"/>
      </w:rPr>
      <w:t>7</w:t>
    </w:r>
  </w:p>
  <w:p w14:paraId="12E36431" w14:textId="77777777" w:rsidR="00B56730" w:rsidRPr="00F92DA0" w:rsidRDefault="00B56730" w:rsidP="00B56730">
    <w:pPr>
      <w:pStyle w:val="Cabealho"/>
      <w:jc w:val="center"/>
      <w:rPr>
        <w:color w:val="00699D"/>
        <w:w w:val="115"/>
        <w:sz w:val="12"/>
      </w:rPr>
    </w:pPr>
  </w:p>
  <w:p w14:paraId="38876306" w14:textId="4C7ECC4D" w:rsidR="00B56730" w:rsidRPr="00F92DA0" w:rsidRDefault="00B56730" w:rsidP="00B56730">
    <w:pPr>
      <w:spacing w:before="90"/>
      <w:jc w:val="center"/>
      <w:rPr>
        <w:sz w:val="20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2D4CDAF6" wp14:editId="7878D306">
          <wp:simplePos x="0" y="0"/>
          <wp:positionH relativeFrom="column">
            <wp:posOffset>-207484</wp:posOffset>
          </wp:positionH>
          <wp:positionV relativeFrom="paragraph">
            <wp:posOffset>3810</wp:posOffset>
          </wp:positionV>
          <wp:extent cx="6733919" cy="10623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919" cy="106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EEB200" w14:textId="77777777" w:rsidR="00B56730" w:rsidRPr="00F92DA0" w:rsidRDefault="00B56730" w:rsidP="00B56730">
    <w:pPr>
      <w:pStyle w:val="Corpodetexto"/>
      <w:rPr>
        <w:sz w:val="20"/>
        <w:lang w:val="pt-BR"/>
      </w:rPr>
    </w:pPr>
  </w:p>
  <w:p w14:paraId="2C2F7528" w14:textId="77777777" w:rsidR="00B56730" w:rsidRPr="00F92DA0" w:rsidRDefault="00B56730" w:rsidP="00B56730">
    <w:pPr>
      <w:pStyle w:val="Corpodetexto"/>
      <w:rPr>
        <w:sz w:val="20"/>
        <w:lang w:val="pt-BR"/>
      </w:rPr>
    </w:pPr>
  </w:p>
  <w:p w14:paraId="33AE3A20" w14:textId="77777777" w:rsidR="00B56730" w:rsidRPr="00F92DA0" w:rsidRDefault="00B56730" w:rsidP="00B56730">
    <w:pPr>
      <w:pStyle w:val="Corpodetexto"/>
      <w:rPr>
        <w:sz w:val="20"/>
        <w:lang w:val="pt-BR"/>
      </w:rPr>
    </w:pPr>
  </w:p>
  <w:p w14:paraId="3DF8B91D" w14:textId="77777777" w:rsidR="00B56730" w:rsidRPr="00F92DA0" w:rsidRDefault="00B56730" w:rsidP="00B56730">
    <w:pPr>
      <w:pStyle w:val="Corpodetexto"/>
      <w:rPr>
        <w:sz w:val="20"/>
        <w:lang w:val="pt-BR"/>
      </w:rPr>
    </w:pPr>
  </w:p>
  <w:p w14:paraId="09E25F10" w14:textId="77777777" w:rsidR="00B56730" w:rsidRPr="00B56730" w:rsidRDefault="00B56730" w:rsidP="00B56730">
    <w:pPr>
      <w:pStyle w:val="Corpodetexto"/>
      <w:rPr>
        <w:sz w:val="20"/>
        <w:lang w:val="pt-BR"/>
      </w:rPr>
    </w:pPr>
    <w:r>
      <w:rPr>
        <w:noProof/>
        <w:lang w:val="pt-BR" w:eastAsia="pt-BR" w:bidi="ar-SA"/>
      </w:rPr>
      <mc:AlternateContent>
        <mc:Choice Requires="wps">
          <w:drawing>
            <wp:anchor distT="4294967295" distB="4294967295" distL="0" distR="0" simplePos="0" relativeHeight="251660288" behindDoc="0" locked="0" layoutInCell="1" allowOverlap="1" wp14:anchorId="4E448E35" wp14:editId="71A4461D">
              <wp:simplePos x="0" y="0"/>
              <wp:positionH relativeFrom="page">
                <wp:posOffset>634365</wp:posOffset>
              </wp:positionH>
              <wp:positionV relativeFrom="paragraph">
                <wp:posOffset>172085</wp:posOffset>
              </wp:positionV>
              <wp:extent cx="6604635" cy="0"/>
              <wp:effectExtent l="0" t="19050" r="24765" b="19050"/>
              <wp:wrapTopAndBottom/>
              <wp:docPr id="10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4635" cy="0"/>
                      </a:xfrm>
                      <a:prstGeom prst="line">
                        <a:avLst/>
                      </a:prstGeom>
                      <a:noFill/>
                      <a:ln w="3816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19160" id="Conector reto 1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95pt,13.55pt" to="57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" strokeweight="1.0601mm">
              <w10:wrap type="topAndBottom"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951D" w14:textId="2EE64E5C" w:rsidR="00F92DA0" w:rsidRPr="00F92DA0" w:rsidRDefault="00B209A9" w:rsidP="00F92DA0">
    <w:pPr>
      <w:pStyle w:val="Cabealho"/>
      <w:jc w:val="center"/>
      <w:rPr>
        <w:color w:val="000000" w:themeColor="text1"/>
        <w:w w:val="115"/>
        <w:sz w:val="14"/>
        <w:szCs w:val="14"/>
      </w:rPr>
    </w:pPr>
    <w:r>
      <w:rPr>
        <w:color w:val="000000" w:themeColor="text1"/>
        <w:w w:val="115"/>
        <w:sz w:val="14"/>
        <w:szCs w:val="14"/>
      </w:rPr>
      <w:t>Souza</w:t>
    </w:r>
    <w:r w:rsidR="00F92DA0" w:rsidRPr="00F92DA0">
      <w:rPr>
        <w:color w:val="000000" w:themeColor="text1"/>
        <w:w w:val="115"/>
        <w:sz w:val="14"/>
        <w:szCs w:val="14"/>
      </w:rPr>
      <w:t xml:space="preserve"> </w:t>
    </w:r>
    <w:r w:rsidR="00974F0B" w:rsidRPr="00974F0B">
      <w:rPr>
        <w:i/>
        <w:color w:val="000000" w:themeColor="text1"/>
        <w:w w:val="115"/>
        <w:sz w:val="14"/>
        <w:szCs w:val="14"/>
      </w:rPr>
      <w:t>et al</w:t>
    </w:r>
    <w:r w:rsidR="00F92DA0" w:rsidRPr="00F92DA0">
      <w:rPr>
        <w:color w:val="000000" w:themeColor="text1"/>
        <w:w w:val="115"/>
        <w:sz w:val="14"/>
        <w:szCs w:val="14"/>
      </w:rPr>
      <w:t xml:space="preserve"> - Ipê </w:t>
    </w:r>
    <w:proofErr w:type="spellStart"/>
    <w:r w:rsidR="00F92DA0" w:rsidRPr="00F92DA0">
      <w:rPr>
        <w:color w:val="000000" w:themeColor="text1"/>
        <w:w w:val="115"/>
        <w:sz w:val="14"/>
        <w:szCs w:val="14"/>
      </w:rPr>
      <w:t>Agronomic</w:t>
    </w:r>
    <w:proofErr w:type="spellEnd"/>
    <w:r w:rsidR="00F92DA0" w:rsidRPr="00F92DA0">
      <w:rPr>
        <w:color w:val="000000" w:themeColor="text1"/>
        <w:w w:val="115"/>
        <w:sz w:val="14"/>
        <w:szCs w:val="14"/>
      </w:rPr>
      <w:t xml:space="preserve"> Journal – V.</w:t>
    </w:r>
    <w:r w:rsidR="00F92DA0">
      <w:rPr>
        <w:color w:val="000000" w:themeColor="text1"/>
        <w:w w:val="115"/>
        <w:sz w:val="14"/>
        <w:szCs w:val="14"/>
      </w:rPr>
      <w:t>5</w:t>
    </w:r>
    <w:r w:rsidR="00F92DA0" w:rsidRPr="00F92DA0">
      <w:rPr>
        <w:color w:val="000000" w:themeColor="text1"/>
        <w:w w:val="115"/>
        <w:sz w:val="14"/>
        <w:szCs w:val="14"/>
      </w:rPr>
      <w:t xml:space="preserve"> N.</w:t>
    </w:r>
    <w:proofErr w:type="gramStart"/>
    <w:r w:rsidR="00F92DA0">
      <w:rPr>
        <w:color w:val="000000" w:themeColor="text1"/>
        <w:w w:val="115"/>
        <w:sz w:val="14"/>
        <w:szCs w:val="14"/>
      </w:rPr>
      <w:t>1</w:t>
    </w:r>
    <w:r w:rsidR="00F92DA0" w:rsidRPr="00F92DA0">
      <w:rPr>
        <w:color w:val="000000" w:themeColor="text1"/>
        <w:w w:val="115"/>
        <w:sz w:val="14"/>
        <w:szCs w:val="14"/>
      </w:rPr>
      <w:t xml:space="preserve">  –</w:t>
    </w:r>
    <w:proofErr w:type="gramEnd"/>
    <w:r w:rsidR="00F92DA0" w:rsidRPr="00F92DA0">
      <w:rPr>
        <w:color w:val="000000" w:themeColor="text1"/>
        <w:w w:val="115"/>
        <w:sz w:val="14"/>
        <w:szCs w:val="14"/>
      </w:rPr>
      <w:t xml:space="preserve"> (202</w:t>
    </w:r>
    <w:r w:rsidR="00F92DA0">
      <w:rPr>
        <w:color w:val="000000" w:themeColor="text1"/>
        <w:w w:val="115"/>
        <w:sz w:val="14"/>
        <w:szCs w:val="14"/>
      </w:rPr>
      <w:t>1</w:t>
    </w:r>
    <w:r w:rsidR="00F92DA0" w:rsidRPr="00F92DA0">
      <w:rPr>
        <w:color w:val="000000" w:themeColor="text1"/>
        <w:w w:val="115"/>
        <w:sz w:val="14"/>
        <w:szCs w:val="14"/>
      </w:rPr>
      <w:t xml:space="preserve">) 1 – </w:t>
    </w:r>
    <w:r w:rsidR="00F92DA0">
      <w:rPr>
        <w:noProof/>
        <w:lang w:eastAsia="pt-BR"/>
      </w:rPr>
      <mc:AlternateContent>
        <mc:Choice Requires="wps">
          <w:drawing>
            <wp:anchor distT="4294967295" distB="4294967295" distL="0" distR="0" simplePos="0" relativeHeight="251663360" behindDoc="0" locked="0" layoutInCell="1" allowOverlap="1" wp14:anchorId="552EC625" wp14:editId="7E7450A8">
              <wp:simplePos x="0" y="0"/>
              <wp:positionH relativeFrom="page">
                <wp:posOffset>634365</wp:posOffset>
              </wp:positionH>
              <wp:positionV relativeFrom="paragraph">
                <wp:posOffset>172085</wp:posOffset>
              </wp:positionV>
              <wp:extent cx="6604635" cy="0"/>
              <wp:effectExtent l="0" t="19050" r="24765" b="19050"/>
              <wp:wrapTopAndBottom/>
              <wp:docPr id="1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4635" cy="0"/>
                      </a:xfrm>
                      <a:prstGeom prst="line">
                        <a:avLst/>
                      </a:prstGeom>
                      <a:noFill/>
                      <a:ln w="3816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92EC0A" id="Conector reto 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95pt,13.55pt" to="57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" strokeweight="1.0601mm">
              <w10:wrap type="topAndBottom" anchorx="page"/>
            </v:line>
          </w:pict>
        </mc:Fallback>
      </mc:AlternateContent>
    </w:r>
    <w:r>
      <w:rPr>
        <w:color w:val="000000" w:themeColor="text1"/>
        <w:w w:val="115"/>
        <w:sz w:val="14"/>
        <w:szCs w:val="1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4D3"/>
    <w:multiLevelType w:val="multilevel"/>
    <w:tmpl w:val="1D2CA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7C59DC"/>
    <w:multiLevelType w:val="hybridMultilevel"/>
    <w:tmpl w:val="CBC036AA"/>
    <w:lvl w:ilvl="0" w:tplc="A5B47EC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94647"/>
    <w:multiLevelType w:val="hybridMultilevel"/>
    <w:tmpl w:val="AC9ED1BA"/>
    <w:lvl w:ilvl="0" w:tplc="740C89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235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01D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0EF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0E3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6B0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496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8C7C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A3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0EC2"/>
    <w:multiLevelType w:val="hybridMultilevel"/>
    <w:tmpl w:val="640A3F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42AAB"/>
    <w:multiLevelType w:val="multilevel"/>
    <w:tmpl w:val="3E3E248C"/>
    <w:lvl w:ilvl="0">
      <w:start w:val="1"/>
      <w:numFmt w:val="decimal"/>
      <w:pStyle w:val="Estilo1"/>
      <w:lvlText w:val="%1."/>
      <w:lvlJc w:val="left"/>
      <w:pPr>
        <w:ind w:left="718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4" w:hanging="1800"/>
      </w:pPr>
      <w:rPr>
        <w:rFonts w:hint="default"/>
      </w:rPr>
    </w:lvl>
  </w:abstractNum>
  <w:abstractNum w:abstractNumId="5" w15:restartNumberingAfterBreak="0">
    <w:nsid w:val="13CA5A51"/>
    <w:multiLevelType w:val="multilevel"/>
    <w:tmpl w:val="1D2CA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62005C"/>
    <w:multiLevelType w:val="hybridMultilevel"/>
    <w:tmpl w:val="4BE86174"/>
    <w:lvl w:ilvl="0" w:tplc="2EE8C18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632FD"/>
    <w:multiLevelType w:val="hybridMultilevel"/>
    <w:tmpl w:val="A328E274"/>
    <w:lvl w:ilvl="0" w:tplc="8466AB8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ED1C28"/>
    <w:multiLevelType w:val="hybridMultilevel"/>
    <w:tmpl w:val="C854F35E"/>
    <w:lvl w:ilvl="0" w:tplc="EEDAE7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885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012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C645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650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2D4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6E6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CCF1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EA95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0F19"/>
    <w:multiLevelType w:val="hybridMultilevel"/>
    <w:tmpl w:val="8AE858E0"/>
    <w:lvl w:ilvl="0" w:tplc="5CDCCA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B75DB7"/>
    <w:multiLevelType w:val="hybridMultilevel"/>
    <w:tmpl w:val="DB5E38EC"/>
    <w:lvl w:ilvl="0" w:tplc="0122CD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4882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6883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404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029D5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869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57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98288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41E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16833"/>
    <w:multiLevelType w:val="hybridMultilevel"/>
    <w:tmpl w:val="51628A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FD7C96"/>
    <w:multiLevelType w:val="hybridMultilevel"/>
    <w:tmpl w:val="C35E9EB6"/>
    <w:lvl w:ilvl="0" w:tplc="3B664B42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F71A6"/>
    <w:multiLevelType w:val="hybridMultilevel"/>
    <w:tmpl w:val="94E80BD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385499A"/>
    <w:multiLevelType w:val="hybridMultilevel"/>
    <w:tmpl w:val="21D0AD6E"/>
    <w:lvl w:ilvl="0" w:tplc="17FEB5E2">
      <w:start w:val="1"/>
      <w:numFmt w:val="decimal"/>
      <w:lvlText w:val="%1"/>
      <w:lvlJc w:val="left"/>
      <w:pPr>
        <w:ind w:left="108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684C72"/>
    <w:multiLevelType w:val="hybridMultilevel"/>
    <w:tmpl w:val="27F2F824"/>
    <w:lvl w:ilvl="0" w:tplc="B7F24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73E3"/>
    <w:multiLevelType w:val="multilevel"/>
    <w:tmpl w:val="7F765B2C"/>
    <w:lvl w:ilvl="0">
      <w:start w:val="1"/>
      <w:numFmt w:val="decimal"/>
      <w:lvlText w:val="%1."/>
      <w:lvlJc w:val="left"/>
      <w:pPr>
        <w:ind w:left="1142" w:hanging="360"/>
      </w:pPr>
    </w:lvl>
    <w:lvl w:ilvl="1">
      <w:start w:val="2"/>
      <w:numFmt w:val="decimal"/>
      <w:isLgl/>
      <w:lvlText w:val="%1.%2"/>
      <w:lvlJc w:val="left"/>
      <w:pPr>
        <w:ind w:left="118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2" w:hanging="1800"/>
      </w:pPr>
      <w:rPr>
        <w:rFonts w:hint="default"/>
      </w:rPr>
    </w:lvl>
  </w:abstractNum>
  <w:abstractNum w:abstractNumId="17" w15:restartNumberingAfterBreak="0">
    <w:nsid w:val="69E41F17"/>
    <w:multiLevelType w:val="hybridMultilevel"/>
    <w:tmpl w:val="CCB825E6"/>
    <w:lvl w:ilvl="0" w:tplc="6FD226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E65B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A5B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44E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EBA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8685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C2F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4E7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F80AC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30A77"/>
    <w:multiLevelType w:val="multilevel"/>
    <w:tmpl w:val="434ADE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0"/>
  </w:num>
  <w:num w:numId="5">
    <w:abstractNumId w:val="13"/>
  </w:num>
  <w:num w:numId="6">
    <w:abstractNumId w:val="12"/>
  </w:num>
  <w:num w:numId="7">
    <w:abstractNumId w:val="5"/>
  </w:num>
  <w:num w:numId="8">
    <w:abstractNumId w:val="18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17"/>
  </w:num>
  <w:num w:numId="14">
    <w:abstractNumId w:val="6"/>
  </w:num>
  <w:num w:numId="15">
    <w:abstractNumId w:val="1"/>
  </w:num>
  <w:num w:numId="16">
    <w:abstractNumId w:val="15"/>
  </w:num>
  <w:num w:numId="17">
    <w:abstractNumId w:val="14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1625E"/>
    <w:rsid w:val="00042906"/>
    <w:rsid w:val="000469A1"/>
    <w:rsid w:val="0005273D"/>
    <w:rsid w:val="000573D3"/>
    <w:rsid w:val="000739C5"/>
    <w:rsid w:val="00084CBF"/>
    <w:rsid w:val="00094B85"/>
    <w:rsid w:val="000B23CC"/>
    <w:rsid w:val="000C6503"/>
    <w:rsid w:val="000C7B28"/>
    <w:rsid w:val="000D565E"/>
    <w:rsid w:val="00105764"/>
    <w:rsid w:val="00106A36"/>
    <w:rsid w:val="00107372"/>
    <w:rsid w:val="001400DD"/>
    <w:rsid w:val="0014466F"/>
    <w:rsid w:val="00170F5C"/>
    <w:rsid w:val="00173B54"/>
    <w:rsid w:val="00180778"/>
    <w:rsid w:val="00184C1E"/>
    <w:rsid w:val="001D1B25"/>
    <w:rsid w:val="001D36A1"/>
    <w:rsid w:val="001F0DF9"/>
    <w:rsid w:val="001F1488"/>
    <w:rsid w:val="0020557C"/>
    <w:rsid w:val="00213487"/>
    <w:rsid w:val="00215156"/>
    <w:rsid w:val="00225312"/>
    <w:rsid w:val="00225BA6"/>
    <w:rsid w:val="00231E87"/>
    <w:rsid w:val="00237211"/>
    <w:rsid w:val="00244B48"/>
    <w:rsid w:val="00262E38"/>
    <w:rsid w:val="002A0D6D"/>
    <w:rsid w:val="002B12E4"/>
    <w:rsid w:val="002B3F67"/>
    <w:rsid w:val="002B5608"/>
    <w:rsid w:val="002C0458"/>
    <w:rsid w:val="002C1523"/>
    <w:rsid w:val="002F2FBA"/>
    <w:rsid w:val="002F7957"/>
    <w:rsid w:val="00381A3F"/>
    <w:rsid w:val="003862D9"/>
    <w:rsid w:val="003956DF"/>
    <w:rsid w:val="003C5C81"/>
    <w:rsid w:val="003D6E13"/>
    <w:rsid w:val="003F7E9D"/>
    <w:rsid w:val="004205BD"/>
    <w:rsid w:val="0042295A"/>
    <w:rsid w:val="00435BCA"/>
    <w:rsid w:val="00461A21"/>
    <w:rsid w:val="00491EAC"/>
    <w:rsid w:val="004949FD"/>
    <w:rsid w:val="004B28CB"/>
    <w:rsid w:val="004B42D9"/>
    <w:rsid w:val="004B71D3"/>
    <w:rsid w:val="004D18F5"/>
    <w:rsid w:val="00504BD9"/>
    <w:rsid w:val="005102AD"/>
    <w:rsid w:val="005154F5"/>
    <w:rsid w:val="00520C75"/>
    <w:rsid w:val="00523E02"/>
    <w:rsid w:val="00524A16"/>
    <w:rsid w:val="0053346A"/>
    <w:rsid w:val="005357A2"/>
    <w:rsid w:val="00536154"/>
    <w:rsid w:val="005442B5"/>
    <w:rsid w:val="005520B3"/>
    <w:rsid w:val="005676FB"/>
    <w:rsid w:val="00571898"/>
    <w:rsid w:val="00583CBE"/>
    <w:rsid w:val="005B18A4"/>
    <w:rsid w:val="005D02DD"/>
    <w:rsid w:val="005D0896"/>
    <w:rsid w:val="005D5695"/>
    <w:rsid w:val="005E73EB"/>
    <w:rsid w:val="006201B0"/>
    <w:rsid w:val="00657ABD"/>
    <w:rsid w:val="006639BB"/>
    <w:rsid w:val="006B4B3C"/>
    <w:rsid w:val="006B7449"/>
    <w:rsid w:val="006F1944"/>
    <w:rsid w:val="006F6F8F"/>
    <w:rsid w:val="00703838"/>
    <w:rsid w:val="007057C2"/>
    <w:rsid w:val="00713C8C"/>
    <w:rsid w:val="00720499"/>
    <w:rsid w:val="007333F4"/>
    <w:rsid w:val="00760FF9"/>
    <w:rsid w:val="007761E9"/>
    <w:rsid w:val="00777510"/>
    <w:rsid w:val="00781879"/>
    <w:rsid w:val="007827F8"/>
    <w:rsid w:val="007A7AC8"/>
    <w:rsid w:val="007B33C1"/>
    <w:rsid w:val="007B3EBA"/>
    <w:rsid w:val="007C2372"/>
    <w:rsid w:val="007D33A9"/>
    <w:rsid w:val="007E2BB7"/>
    <w:rsid w:val="007E7AC7"/>
    <w:rsid w:val="007F3571"/>
    <w:rsid w:val="0080243F"/>
    <w:rsid w:val="00810381"/>
    <w:rsid w:val="00817C6D"/>
    <w:rsid w:val="00820468"/>
    <w:rsid w:val="008206D3"/>
    <w:rsid w:val="00821985"/>
    <w:rsid w:val="00824071"/>
    <w:rsid w:val="00831487"/>
    <w:rsid w:val="008607CA"/>
    <w:rsid w:val="0086583B"/>
    <w:rsid w:val="00873561"/>
    <w:rsid w:val="0088394B"/>
    <w:rsid w:val="008B549D"/>
    <w:rsid w:val="008C6E65"/>
    <w:rsid w:val="008E079C"/>
    <w:rsid w:val="008F275E"/>
    <w:rsid w:val="00902F4B"/>
    <w:rsid w:val="00906709"/>
    <w:rsid w:val="00906E52"/>
    <w:rsid w:val="00937DA6"/>
    <w:rsid w:val="00942985"/>
    <w:rsid w:val="00951C61"/>
    <w:rsid w:val="00967F05"/>
    <w:rsid w:val="00970985"/>
    <w:rsid w:val="009749D9"/>
    <w:rsid w:val="00974F0B"/>
    <w:rsid w:val="009873BD"/>
    <w:rsid w:val="009A1398"/>
    <w:rsid w:val="009B2DF6"/>
    <w:rsid w:val="009B4E21"/>
    <w:rsid w:val="009C66F5"/>
    <w:rsid w:val="009F565B"/>
    <w:rsid w:val="00A0245A"/>
    <w:rsid w:val="00A17D9F"/>
    <w:rsid w:val="00A21BB6"/>
    <w:rsid w:val="00A429B2"/>
    <w:rsid w:val="00A5718B"/>
    <w:rsid w:val="00A602A0"/>
    <w:rsid w:val="00A83E73"/>
    <w:rsid w:val="00A86CC0"/>
    <w:rsid w:val="00A94056"/>
    <w:rsid w:val="00AA4515"/>
    <w:rsid w:val="00AB19F5"/>
    <w:rsid w:val="00AC4C5A"/>
    <w:rsid w:val="00AE6821"/>
    <w:rsid w:val="00B11B4D"/>
    <w:rsid w:val="00B209A9"/>
    <w:rsid w:val="00B46C54"/>
    <w:rsid w:val="00B4780C"/>
    <w:rsid w:val="00B56730"/>
    <w:rsid w:val="00B6215C"/>
    <w:rsid w:val="00B7618E"/>
    <w:rsid w:val="00B87F4E"/>
    <w:rsid w:val="00BA6625"/>
    <w:rsid w:val="00BB4397"/>
    <w:rsid w:val="00BC7CA2"/>
    <w:rsid w:val="00BD0CF8"/>
    <w:rsid w:val="00BF4967"/>
    <w:rsid w:val="00BF58FE"/>
    <w:rsid w:val="00C14EF4"/>
    <w:rsid w:val="00C23180"/>
    <w:rsid w:val="00C3184E"/>
    <w:rsid w:val="00CA3CA2"/>
    <w:rsid w:val="00CC2C7C"/>
    <w:rsid w:val="00CE5BFA"/>
    <w:rsid w:val="00CF1A6C"/>
    <w:rsid w:val="00CF65BB"/>
    <w:rsid w:val="00D10D0A"/>
    <w:rsid w:val="00D15E73"/>
    <w:rsid w:val="00D817A8"/>
    <w:rsid w:val="00DA341D"/>
    <w:rsid w:val="00DB3CFC"/>
    <w:rsid w:val="00DC7B76"/>
    <w:rsid w:val="00DE1174"/>
    <w:rsid w:val="00DF1A1A"/>
    <w:rsid w:val="00E26868"/>
    <w:rsid w:val="00E3119C"/>
    <w:rsid w:val="00E318D8"/>
    <w:rsid w:val="00E55485"/>
    <w:rsid w:val="00E71DFC"/>
    <w:rsid w:val="00EA31A6"/>
    <w:rsid w:val="00EB23B7"/>
    <w:rsid w:val="00EC3394"/>
    <w:rsid w:val="00EE46A1"/>
    <w:rsid w:val="00F032A8"/>
    <w:rsid w:val="00F24C07"/>
    <w:rsid w:val="00F37871"/>
    <w:rsid w:val="00F530BA"/>
    <w:rsid w:val="00F60638"/>
    <w:rsid w:val="00F82A98"/>
    <w:rsid w:val="00F928B2"/>
    <w:rsid w:val="00F92DA0"/>
    <w:rsid w:val="00F9313A"/>
    <w:rsid w:val="00F940A1"/>
    <w:rsid w:val="00FB0A58"/>
    <w:rsid w:val="00FC01A7"/>
    <w:rsid w:val="00FC5A1E"/>
    <w:rsid w:val="00FD3E5C"/>
    <w:rsid w:val="00FD76DF"/>
    <w:rsid w:val="00FE1ECF"/>
    <w:rsid w:val="00FE2A82"/>
    <w:rsid w:val="00FE5A88"/>
    <w:rsid w:val="00FF5D22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95A62"/>
  <w15:chartTrackingRefBased/>
  <w15:docId w15:val="{69A4F33E-4137-42B3-8796-0EC2A8E9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1985"/>
    <w:pPr>
      <w:keepNext/>
      <w:spacing w:before="240" w:after="24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19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19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730"/>
  </w:style>
  <w:style w:type="paragraph" w:styleId="Rodap">
    <w:name w:val="footer"/>
    <w:basedOn w:val="Normal"/>
    <w:link w:val="RodapChar"/>
    <w:uiPriority w:val="99"/>
    <w:unhideWhenUsed/>
    <w:rsid w:val="00B56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730"/>
  </w:style>
  <w:style w:type="paragraph" w:styleId="Corpodetexto">
    <w:name w:val="Body Text"/>
    <w:basedOn w:val="Normal"/>
    <w:link w:val="CorpodetextoChar"/>
    <w:uiPriority w:val="1"/>
    <w:qFormat/>
    <w:rsid w:val="00B5673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6730"/>
    <w:rPr>
      <w:rFonts w:ascii="Cambria" w:eastAsia="Cambria" w:hAnsi="Cambria" w:cs="Cambria"/>
      <w:sz w:val="16"/>
      <w:szCs w:val="16"/>
      <w:lang w:val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821985"/>
    <w:rPr>
      <w:rFonts w:ascii="Arial" w:eastAsia="Times New Roman" w:hAnsi="Arial" w:cs="Times New Roman"/>
      <w:b/>
      <w:sz w:val="24"/>
      <w:szCs w:val="20"/>
      <w:lang w:val="x-none" w:eastAsia="x-none"/>
    </w:rPr>
  </w:style>
  <w:style w:type="table" w:styleId="SimplesTabela2">
    <w:name w:val="Plain Table 2"/>
    <w:basedOn w:val="Tabelanormal"/>
    <w:uiPriority w:val="42"/>
    <w:rsid w:val="008219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8219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219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821985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571898"/>
    <w:rPr>
      <w:sz w:val="16"/>
      <w:szCs w:val="16"/>
    </w:rPr>
  </w:style>
  <w:style w:type="paragraph" w:customStyle="1" w:styleId="LegendaTabela">
    <w:name w:val="Legenda Tabela"/>
    <w:basedOn w:val="Normal"/>
    <w:next w:val="Normal"/>
    <w:rsid w:val="001F0DF9"/>
    <w:pPr>
      <w:keepNext/>
      <w:overflowPunct w:val="0"/>
      <w:autoSpaceDE w:val="0"/>
      <w:autoSpaceDN w:val="0"/>
      <w:adjustRightInd w:val="0"/>
      <w:spacing w:before="120" w:after="60" w:line="240" w:lineRule="auto"/>
      <w:ind w:left="567"/>
      <w:jc w:val="center"/>
      <w:textAlignment w:val="baseline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customStyle="1" w:styleId="Referencia">
    <w:name w:val="Referencia"/>
    <w:basedOn w:val="Normal"/>
    <w:rsid w:val="001F0DF9"/>
    <w:pPr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Book Antiqua" w:eastAsia="Times New Roman" w:hAnsi="Book Antiqua" w:cs="Times New Roman"/>
      <w:noProof/>
      <w:sz w:val="20"/>
      <w:szCs w:val="20"/>
      <w:lang w:eastAsia="pt-BR"/>
    </w:rPr>
  </w:style>
  <w:style w:type="character" w:styleId="Forte">
    <w:name w:val="Strong"/>
    <w:qFormat/>
    <w:rsid w:val="001F0DF9"/>
    <w:rPr>
      <w:b/>
      <w:bCs/>
    </w:rPr>
  </w:style>
  <w:style w:type="character" w:customStyle="1" w:styleId="apple-style-span">
    <w:name w:val="apple-style-span"/>
    <w:basedOn w:val="Fontepargpadro"/>
    <w:rsid w:val="001F0DF9"/>
  </w:style>
  <w:style w:type="character" w:styleId="Hyperlink">
    <w:name w:val="Hyperlink"/>
    <w:basedOn w:val="Fontepargpadro"/>
    <w:uiPriority w:val="99"/>
    <w:unhideWhenUsed/>
    <w:rsid w:val="00C14EF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14E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14EF4"/>
    <w:pPr>
      <w:ind w:left="720"/>
      <w:contextualSpacing/>
    </w:pPr>
  </w:style>
  <w:style w:type="paragraph" w:customStyle="1" w:styleId="Default">
    <w:name w:val="Default"/>
    <w:rsid w:val="00CC2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C2C7C"/>
  </w:style>
  <w:style w:type="paragraph" w:styleId="Textodebalo">
    <w:name w:val="Balloon Text"/>
    <w:basedOn w:val="Normal"/>
    <w:link w:val="TextodebaloChar1"/>
    <w:uiPriority w:val="99"/>
    <w:qFormat/>
    <w:rsid w:val="00B11B4D"/>
    <w:pPr>
      <w:spacing w:after="0" w:line="240" w:lineRule="auto"/>
      <w:ind w:firstLineChars="150" w:firstLine="150"/>
      <w:jc w:val="both"/>
    </w:pPr>
    <w:rPr>
      <w:rFonts w:ascii="Tahoma" w:eastAsia="Calibri" w:hAnsi="Tahoma" w:cs="Times New Roman"/>
      <w:position w:val="-1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uiPriority w:val="99"/>
    <w:semiHidden/>
    <w:rsid w:val="00B11B4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qFormat/>
    <w:rsid w:val="00B11B4D"/>
    <w:pPr>
      <w:spacing w:after="0" w:line="360" w:lineRule="auto"/>
      <w:ind w:firstLineChars="150" w:firstLine="150"/>
      <w:jc w:val="both"/>
    </w:pPr>
    <w:rPr>
      <w:rFonts w:ascii="Calibri" w:eastAsia="Calibri" w:hAnsi="Calibri" w:cs="Calibri"/>
      <w:position w:val="-1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1B4D"/>
    <w:rPr>
      <w:rFonts w:ascii="Calibri" w:eastAsia="Calibri" w:hAnsi="Calibri" w:cs="Calibri"/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sid w:val="00B11B4D"/>
    <w:rPr>
      <w:rFonts w:ascii="Arial" w:hAnsi="Arial"/>
      <w:bCs/>
      <w:sz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11B4D"/>
    <w:rPr>
      <w:rFonts w:ascii="Arial" w:eastAsia="Calibri" w:hAnsi="Arial" w:cs="Calibri"/>
      <w:bCs/>
      <w:position w:val="-1"/>
      <w:sz w:val="24"/>
      <w:szCs w:val="20"/>
    </w:rPr>
  </w:style>
  <w:style w:type="paragraph" w:customStyle="1" w:styleId="Estilo1">
    <w:name w:val="Estilo1"/>
    <w:basedOn w:val="Textodebalo"/>
    <w:link w:val="Estilo1Char"/>
    <w:qFormat/>
    <w:rsid w:val="00B11B4D"/>
    <w:pPr>
      <w:numPr>
        <w:numId w:val="1"/>
      </w:numPr>
      <w:ind w:left="0" w:firstLineChars="0" w:firstLine="0"/>
    </w:pPr>
    <w:rPr>
      <w:rFonts w:ascii="Arial" w:hAnsi="Arial"/>
      <w:b/>
      <w:sz w:val="24"/>
      <w:szCs w:val="24"/>
    </w:rPr>
  </w:style>
  <w:style w:type="paragraph" w:customStyle="1" w:styleId="Estilo2">
    <w:name w:val="Estilo2"/>
    <w:basedOn w:val="Ttulo2"/>
    <w:link w:val="Estilo2Char"/>
    <w:qFormat/>
    <w:rsid w:val="00B11B4D"/>
    <w:pPr>
      <w:keepLines w:val="0"/>
      <w:spacing w:before="0" w:after="120" w:line="360" w:lineRule="auto"/>
      <w:ind w:left="720"/>
      <w:jc w:val="both"/>
    </w:pPr>
    <w:rPr>
      <w:rFonts w:ascii="Arial" w:eastAsia="Arial" w:hAnsi="Arial" w:cs="Times New Roman"/>
      <w:bCs/>
      <w:i/>
      <w:iCs/>
      <w:color w:val="auto"/>
      <w:position w:val="-1"/>
      <w:sz w:val="24"/>
      <w:szCs w:val="24"/>
      <w:lang w:val="x-none"/>
    </w:rPr>
  </w:style>
  <w:style w:type="character" w:customStyle="1" w:styleId="TextodebaloChar1">
    <w:name w:val="Texto de balão Char1"/>
    <w:link w:val="Textodebalo"/>
    <w:rsid w:val="00B11B4D"/>
    <w:rPr>
      <w:rFonts w:ascii="Tahoma" w:eastAsia="Calibri" w:hAnsi="Tahoma" w:cs="Times New Roman"/>
      <w:position w:val="-1"/>
      <w:sz w:val="16"/>
      <w:szCs w:val="16"/>
      <w:lang w:val="x-none"/>
    </w:rPr>
  </w:style>
  <w:style w:type="character" w:customStyle="1" w:styleId="Estilo1Char">
    <w:name w:val="Estilo1 Char"/>
    <w:link w:val="Estilo1"/>
    <w:rsid w:val="00B11B4D"/>
    <w:rPr>
      <w:rFonts w:ascii="Arial" w:eastAsia="Calibri" w:hAnsi="Arial" w:cs="Times New Roman"/>
      <w:b/>
      <w:position w:val="-1"/>
      <w:sz w:val="24"/>
      <w:szCs w:val="24"/>
      <w:lang w:val="x-none"/>
    </w:rPr>
  </w:style>
  <w:style w:type="character" w:customStyle="1" w:styleId="Estilo2Char">
    <w:name w:val="Estilo2 Char"/>
    <w:link w:val="Estilo2"/>
    <w:rsid w:val="00B11B4D"/>
    <w:rPr>
      <w:rFonts w:ascii="Arial" w:eastAsia="Arial" w:hAnsi="Arial" w:cs="Times New Roman"/>
      <w:bCs/>
      <w:i/>
      <w:iCs/>
      <w:position w:val="-1"/>
      <w:sz w:val="24"/>
      <w:szCs w:val="24"/>
      <w:lang w:val="x-none"/>
    </w:rPr>
  </w:style>
  <w:style w:type="paragraph" w:customStyle="1" w:styleId="Titulo3">
    <w:name w:val="Titulo 3"/>
    <w:basedOn w:val="Normal"/>
    <w:link w:val="Titulo3Char"/>
    <w:qFormat/>
    <w:rsid w:val="00B11B4D"/>
    <w:pPr>
      <w:spacing w:after="0" w:line="360" w:lineRule="auto"/>
      <w:ind w:firstLine="720"/>
      <w:jc w:val="both"/>
    </w:pPr>
    <w:rPr>
      <w:rFonts w:ascii="Arial" w:eastAsia="Arial" w:hAnsi="Arial" w:cs="Arial"/>
      <w:position w:val="-1"/>
      <w:sz w:val="24"/>
      <w:szCs w:val="24"/>
    </w:rPr>
  </w:style>
  <w:style w:type="character" w:customStyle="1" w:styleId="Titulo3Char">
    <w:name w:val="Titulo 3 Char"/>
    <w:basedOn w:val="Fontepargpadro"/>
    <w:link w:val="Titulo3"/>
    <w:rsid w:val="00B11B4D"/>
    <w:rPr>
      <w:rFonts w:ascii="Arial" w:eastAsia="Arial" w:hAnsi="Arial" w:cs="Arial"/>
      <w:position w:val="-1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4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ias">
    <w:name w:val="autorias"/>
    <w:rsid w:val="00AA4515"/>
  </w:style>
  <w:style w:type="character" w:customStyle="1" w:styleId="popover-publicacao-nome-autor-1097030">
    <w:name w:val="popover-publicacao-nome-autor-1097030"/>
    <w:rsid w:val="00AA4515"/>
  </w:style>
  <w:style w:type="character" w:customStyle="1" w:styleId="nome-autor">
    <w:name w:val="nome-autor"/>
    <w:rsid w:val="00AA4515"/>
  </w:style>
  <w:style w:type="character" w:customStyle="1" w:styleId="st">
    <w:name w:val="st"/>
    <w:basedOn w:val="Fontepargpadro"/>
    <w:rsid w:val="00A86CC0"/>
  </w:style>
  <w:style w:type="paragraph" w:styleId="CabealhodoSumrio">
    <w:name w:val="TOC Heading"/>
    <w:basedOn w:val="Ttulo1"/>
    <w:next w:val="Normal"/>
    <w:uiPriority w:val="39"/>
    <w:unhideWhenUsed/>
    <w:qFormat/>
    <w:rsid w:val="007C2372"/>
    <w:pPr>
      <w:keepLines/>
      <w:spacing w:before="480" w:after="0" w:line="276" w:lineRule="auto"/>
      <w:ind w:left="714" w:hanging="357"/>
      <w:outlineLvl w:val="9"/>
    </w:pPr>
    <w:rPr>
      <w:rFonts w:ascii="Calibri Light" w:hAnsi="Calibri Light"/>
      <w:bCs/>
      <w:color w:val="2E74B5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C2372"/>
    <w:pPr>
      <w:tabs>
        <w:tab w:val="left" w:pos="440"/>
        <w:tab w:val="left" w:pos="1134"/>
        <w:tab w:val="right" w:leader="dot" w:pos="9061"/>
      </w:tabs>
      <w:spacing w:after="100"/>
      <w:ind w:firstLine="1701"/>
    </w:pPr>
    <w:rPr>
      <w:rFonts w:ascii="Calibri" w:eastAsia="Calibri" w:hAnsi="Calibri" w:cs="Times New Roman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C2372"/>
    <w:pPr>
      <w:spacing w:after="100"/>
      <w:ind w:left="220"/>
    </w:pPr>
    <w:rPr>
      <w:rFonts w:ascii="Calibri" w:eastAsia="Calibri" w:hAnsi="Calibri" w:cs="Times New Roman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C2372"/>
    <w:pPr>
      <w:spacing w:after="100" w:line="276" w:lineRule="auto"/>
      <w:ind w:left="440"/>
    </w:pPr>
    <w:rPr>
      <w:rFonts w:ascii="Calibri" w:eastAsia="Times New Roman" w:hAnsi="Calibri" w:cs="Times New Roman"/>
      <w:lang w:eastAsia="pt-BR"/>
    </w:rPr>
  </w:style>
  <w:style w:type="paragraph" w:styleId="Reviso">
    <w:name w:val="Revision"/>
    <w:hidden/>
    <w:uiPriority w:val="99"/>
    <w:semiHidden/>
    <w:rsid w:val="007C23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noPendente10">
    <w:name w:val="Menção Pendente1"/>
    <w:uiPriority w:val="99"/>
    <w:semiHidden/>
    <w:unhideWhenUsed/>
    <w:rsid w:val="007C2372"/>
    <w:rPr>
      <w:color w:val="808080"/>
      <w:shd w:val="clear" w:color="auto" w:fill="E6E6E6"/>
    </w:rPr>
  </w:style>
  <w:style w:type="character" w:styleId="TextodoEspaoReservado">
    <w:name w:val="Placeholder Text"/>
    <w:uiPriority w:val="99"/>
    <w:semiHidden/>
    <w:rsid w:val="007C2372"/>
    <w:rPr>
      <w:color w:val="808080"/>
    </w:rPr>
  </w:style>
  <w:style w:type="paragraph" w:styleId="ndicedeilustraes">
    <w:name w:val="table of figures"/>
    <w:basedOn w:val="Normal"/>
    <w:next w:val="Normal"/>
    <w:uiPriority w:val="99"/>
    <w:unhideWhenUsed/>
    <w:rsid w:val="007C23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C23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uiPriority w:val="99"/>
    <w:semiHidden/>
    <w:unhideWhenUsed/>
    <w:rsid w:val="007C2372"/>
    <w:rPr>
      <w:color w:val="605E5C"/>
      <w:shd w:val="clear" w:color="auto" w:fill="E1DFDD"/>
    </w:rPr>
  </w:style>
  <w:style w:type="character" w:customStyle="1" w:styleId="fontstyle01">
    <w:name w:val="fontstyle01"/>
    <w:rsid w:val="007C237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25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253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SemEspaamento">
    <w:name w:val="No Spacing"/>
    <w:uiPriority w:val="1"/>
    <w:qFormat/>
    <w:rsid w:val="00524A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524A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39A50-457A-4A05-BC44-E8048055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3713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Jads Moura</dc:creator>
  <cp:keywords/>
  <dc:description/>
  <cp:lastModifiedBy>Jadson B. de Moura</cp:lastModifiedBy>
  <cp:revision>12</cp:revision>
  <cp:lastPrinted>2021-03-17T01:33:00Z</cp:lastPrinted>
  <dcterms:created xsi:type="dcterms:W3CDTF">2021-03-18T19:08:00Z</dcterms:created>
  <dcterms:modified xsi:type="dcterms:W3CDTF">2021-03-26T16:37:00Z</dcterms:modified>
</cp:coreProperties>
</file>